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BA" w:rsidRDefault="004752BA" w:rsidP="004752BA">
      <w:pPr>
        <w:jc w:val="center"/>
        <w:rPr>
          <w:rFonts w:ascii="Arial" w:hAnsi="Arial" w:cs="Arial"/>
          <w:sz w:val="32"/>
          <w:szCs w:val="32"/>
        </w:rPr>
      </w:pPr>
    </w:p>
    <w:p w:rsidR="004752BA" w:rsidRDefault="004752BA" w:rsidP="009F12FA">
      <w:pPr>
        <w:rPr>
          <w:rFonts w:ascii="Arial" w:hAnsi="Arial" w:cs="Arial"/>
          <w:sz w:val="32"/>
          <w:szCs w:val="32"/>
        </w:rPr>
      </w:pPr>
    </w:p>
    <w:p w:rsidR="009F12FA" w:rsidRDefault="009F12FA" w:rsidP="009F12FA">
      <w:pPr>
        <w:jc w:val="center"/>
        <w:rPr>
          <w:rFonts w:ascii="Arial" w:hAnsi="Arial" w:cs="Arial"/>
          <w:sz w:val="32"/>
          <w:szCs w:val="32"/>
        </w:rPr>
      </w:pPr>
      <w:r>
        <w:rPr>
          <w:rFonts w:ascii="Arial" w:hAnsi="Arial" w:cs="Arial"/>
          <w:sz w:val="32"/>
          <w:szCs w:val="32"/>
        </w:rPr>
        <w:t>CURSO ANÁLISIS TEXTUAL PARA EL DESARROLLO DE LAS COMPETENCIAS LECTORAS</w:t>
      </w:r>
    </w:p>
    <w:p w:rsidR="009F12FA" w:rsidRDefault="009F12FA" w:rsidP="009F12FA">
      <w:pPr>
        <w:jc w:val="center"/>
        <w:rPr>
          <w:rFonts w:ascii="Arial" w:hAnsi="Arial" w:cs="Arial"/>
          <w:sz w:val="32"/>
          <w:szCs w:val="32"/>
        </w:rPr>
      </w:pPr>
      <w:r>
        <w:rPr>
          <w:rFonts w:ascii="Arial" w:hAnsi="Arial" w:cs="Arial"/>
          <w:sz w:val="32"/>
          <w:szCs w:val="32"/>
        </w:rPr>
        <w:t>DIARIO DE CAMPO SOBRE LA NARRACIÓN REALIZADA EN LA SESIÓN 1</w:t>
      </w:r>
    </w:p>
    <w:p w:rsidR="009F12FA" w:rsidRDefault="009F12FA" w:rsidP="009F12FA">
      <w:pPr>
        <w:rPr>
          <w:rFonts w:ascii="Arial" w:hAnsi="Arial" w:cs="Arial"/>
          <w:sz w:val="32"/>
          <w:szCs w:val="32"/>
        </w:rPr>
      </w:pPr>
    </w:p>
    <w:p w:rsidR="004752BA" w:rsidRDefault="004752BA" w:rsidP="004752BA">
      <w:pPr>
        <w:jc w:val="center"/>
        <w:rPr>
          <w:rFonts w:ascii="Arial" w:hAnsi="Arial" w:cs="Arial"/>
          <w:sz w:val="32"/>
          <w:szCs w:val="32"/>
        </w:rPr>
      </w:pPr>
    </w:p>
    <w:p w:rsidR="004752BA" w:rsidRDefault="004752BA" w:rsidP="004752BA">
      <w:pPr>
        <w:jc w:val="center"/>
        <w:rPr>
          <w:rFonts w:ascii="Arial" w:hAnsi="Arial" w:cs="Arial"/>
          <w:sz w:val="32"/>
          <w:szCs w:val="32"/>
        </w:rPr>
      </w:pPr>
    </w:p>
    <w:p w:rsidR="004752BA" w:rsidRDefault="004752BA" w:rsidP="004752BA">
      <w:pPr>
        <w:jc w:val="center"/>
        <w:rPr>
          <w:rFonts w:ascii="Arial" w:hAnsi="Arial" w:cs="Arial"/>
          <w:sz w:val="32"/>
          <w:szCs w:val="32"/>
        </w:rPr>
      </w:pPr>
    </w:p>
    <w:p w:rsidR="004752BA" w:rsidRDefault="004752BA" w:rsidP="004752BA">
      <w:pPr>
        <w:jc w:val="center"/>
        <w:rPr>
          <w:rFonts w:ascii="Arial" w:hAnsi="Arial" w:cs="Arial"/>
          <w:sz w:val="32"/>
          <w:szCs w:val="32"/>
        </w:rPr>
      </w:pPr>
    </w:p>
    <w:p w:rsidR="004752BA" w:rsidRDefault="004752BA" w:rsidP="004752BA">
      <w:pPr>
        <w:jc w:val="center"/>
        <w:rPr>
          <w:rFonts w:ascii="Arial" w:hAnsi="Arial" w:cs="Arial"/>
          <w:sz w:val="32"/>
          <w:szCs w:val="32"/>
        </w:rPr>
      </w:pPr>
    </w:p>
    <w:p w:rsidR="004752BA" w:rsidRDefault="004752BA" w:rsidP="004752BA">
      <w:pPr>
        <w:rPr>
          <w:rFonts w:ascii="Arial" w:hAnsi="Arial" w:cs="Arial"/>
          <w:sz w:val="32"/>
          <w:szCs w:val="32"/>
        </w:rPr>
      </w:pPr>
    </w:p>
    <w:p w:rsidR="009F12FA" w:rsidRDefault="009F12FA" w:rsidP="009F12FA">
      <w:pPr>
        <w:rPr>
          <w:rFonts w:ascii="Arial" w:hAnsi="Arial" w:cs="Arial"/>
          <w:sz w:val="32"/>
          <w:szCs w:val="32"/>
        </w:rPr>
      </w:pPr>
    </w:p>
    <w:p w:rsidR="009F12FA" w:rsidRDefault="009F12FA" w:rsidP="009F12FA">
      <w:pPr>
        <w:rPr>
          <w:rFonts w:ascii="Arial" w:hAnsi="Arial" w:cs="Arial"/>
          <w:sz w:val="32"/>
          <w:szCs w:val="32"/>
        </w:rPr>
      </w:pPr>
    </w:p>
    <w:p w:rsidR="009F12FA" w:rsidRDefault="009F12FA" w:rsidP="009F12FA">
      <w:pPr>
        <w:rPr>
          <w:rFonts w:ascii="Arial" w:hAnsi="Arial" w:cs="Arial"/>
          <w:sz w:val="32"/>
          <w:szCs w:val="32"/>
        </w:rPr>
      </w:pPr>
    </w:p>
    <w:p w:rsidR="009F12FA" w:rsidRDefault="009F12FA" w:rsidP="009F12FA">
      <w:pPr>
        <w:jc w:val="right"/>
        <w:rPr>
          <w:rFonts w:ascii="Arial" w:hAnsi="Arial" w:cs="Arial"/>
          <w:sz w:val="32"/>
          <w:szCs w:val="32"/>
        </w:rPr>
      </w:pPr>
      <w:r>
        <w:rPr>
          <w:rFonts w:ascii="Arial" w:hAnsi="Arial" w:cs="Arial"/>
          <w:sz w:val="32"/>
          <w:szCs w:val="32"/>
        </w:rPr>
        <w:t>ARACELI LUNA BARCO</w:t>
      </w:r>
    </w:p>
    <w:p w:rsidR="009F12FA" w:rsidRDefault="009F12FA" w:rsidP="009F12FA">
      <w:pPr>
        <w:rPr>
          <w:rFonts w:ascii="Arial" w:hAnsi="Arial" w:cs="Arial"/>
          <w:sz w:val="32"/>
          <w:szCs w:val="32"/>
        </w:rPr>
      </w:pPr>
    </w:p>
    <w:p w:rsidR="009F12FA" w:rsidRDefault="009F12FA" w:rsidP="009F12FA">
      <w:pPr>
        <w:rPr>
          <w:rFonts w:ascii="Arial" w:hAnsi="Arial" w:cs="Arial"/>
          <w:sz w:val="32"/>
          <w:szCs w:val="32"/>
        </w:rPr>
      </w:pPr>
    </w:p>
    <w:p w:rsidR="009F12FA" w:rsidRDefault="009F12FA" w:rsidP="009F12FA">
      <w:pPr>
        <w:rPr>
          <w:rFonts w:ascii="Arial" w:hAnsi="Arial" w:cs="Arial"/>
          <w:sz w:val="32"/>
          <w:szCs w:val="32"/>
        </w:rPr>
      </w:pPr>
    </w:p>
    <w:p w:rsidR="009F12FA" w:rsidRDefault="009F12FA" w:rsidP="009F12FA">
      <w:pPr>
        <w:rPr>
          <w:rFonts w:ascii="Arial" w:hAnsi="Arial" w:cs="Arial"/>
          <w:sz w:val="32"/>
          <w:szCs w:val="32"/>
        </w:rPr>
      </w:pPr>
    </w:p>
    <w:p w:rsidR="009F12FA" w:rsidRDefault="009F12FA" w:rsidP="009F12FA">
      <w:pPr>
        <w:rPr>
          <w:rFonts w:ascii="Arial" w:hAnsi="Arial" w:cs="Arial"/>
          <w:sz w:val="32"/>
          <w:szCs w:val="32"/>
        </w:rPr>
      </w:pPr>
    </w:p>
    <w:p w:rsidR="009F12FA" w:rsidRDefault="009F12FA" w:rsidP="009F12FA">
      <w:pPr>
        <w:rPr>
          <w:rFonts w:ascii="Arial" w:hAnsi="Arial" w:cs="Arial"/>
          <w:sz w:val="32"/>
          <w:szCs w:val="32"/>
        </w:rPr>
      </w:pPr>
    </w:p>
    <w:p w:rsidR="009F12FA" w:rsidRDefault="009F12FA" w:rsidP="009F12FA">
      <w:pPr>
        <w:rPr>
          <w:rFonts w:ascii="Arial" w:hAnsi="Arial" w:cs="Arial"/>
          <w:sz w:val="32"/>
          <w:szCs w:val="32"/>
        </w:rPr>
      </w:pPr>
    </w:p>
    <w:tbl>
      <w:tblPr>
        <w:tblStyle w:val="Tablaconcuadrcula"/>
        <w:tblpPr w:leftFromText="141" w:rightFromText="141" w:vertAnchor="page" w:horzAnchor="margin" w:tblpY="3109"/>
        <w:tblW w:w="0" w:type="auto"/>
        <w:tblLook w:val="04A0"/>
      </w:tblPr>
      <w:tblGrid>
        <w:gridCol w:w="2881"/>
        <w:gridCol w:w="1441"/>
        <w:gridCol w:w="1440"/>
        <w:gridCol w:w="2882"/>
        <w:gridCol w:w="38"/>
      </w:tblGrid>
      <w:tr w:rsidR="009F12FA" w:rsidTr="008D389C">
        <w:trPr>
          <w:gridAfter w:val="1"/>
          <w:wAfter w:w="38" w:type="dxa"/>
        </w:trPr>
        <w:tc>
          <w:tcPr>
            <w:tcW w:w="2881" w:type="dxa"/>
          </w:tcPr>
          <w:p w:rsidR="009F12FA" w:rsidRPr="004752BA" w:rsidRDefault="009F12FA" w:rsidP="008D389C">
            <w:pPr>
              <w:jc w:val="center"/>
              <w:rPr>
                <w:rFonts w:ascii="Arial" w:hAnsi="Arial" w:cs="Arial"/>
                <w:sz w:val="24"/>
                <w:szCs w:val="24"/>
              </w:rPr>
            </w:pPr>
            <w:r w:rsidRPr="004752BA">
              <w:rPr>
                <w:rFonts w:ascii="Arial" w:hAnsi="Arial" w:cs="Arial"/>
                <w:sz w:val="24"/>
                <w:szCs w:val="24"/>
              </w:rPr>
              <w:t>Campo formativo:</w:t>
            </w:r>
          </w:p>
          <w:p w:rsidR="009F12FA" w:rsidRPr="004752BA" w:rsidRDefault="009F12FA" w:rsidP="008D389C">
            <w:pPr>
              <w:jc w:val="both"/>
              <w:rPr>
                <w:rFonts w:ascii="Arial" w:hAnsi="Arial" w:cs="Arial"/>
                <w:sz w:val="24"/>
                <w:szCs w:val="24"/>
              </w:rPr>
            </w:pPr>
            <w:r w:rsidRPr="004752BA">
              <w:rPr>
                <w:rFonts w:ascii="Arial" w:hAnsi="Arial" w:cs="Arial"/>
                <w:sz w:val="24"/>
                <w:szCs w:val="24"/>
              </w:rPr>
              <w:t>Lenguaje y comunicación.</w:t>
            </w:r>
          </w:p>
        </w:tc>
        <w:tc>
          <w:tcPr>
            <w:tcW w:w="2881" w:type="dxa"/>
            <w:gridSpan w:val="2"/>
          </w:tcPr>
          <w:p w:rsidR="009F12FA" w:rsidRPr="004752BA" w:rsidRDefault="009F12FA" w:rsidP="008D389C">
            <w:pPr>
              <w:jc w:val="center"/>
              <w:rPr>
                <w:rFonts w:ascii="Arial" w:hAnsi="Arial" w:cs="Arial"/>
                <w:sz w:val="24"/>
                <w:szCs w:val="24"/>
              </w:rPr>
            </w:pPr>
            <w:r w:rsidRPr="004752BA">
              <w:rPr>
                <w:rFonts w:ascii="Arial" w:hAnsi="Arial" w:cs="Arial"/>
                <w:sz w:val="24"/>
                <w:szCs w:val="24"/>
              </w:rPr>
              <w:t>Competencias que se favorecen:</w:t>
            </w:r>
          </w:p>
          <w:p w:rsidR="009F12FA" w:rsidRPr="004752BA" w:rsidRDefault="009F12FA" w:rsidP="008D389C">
            <w:pPr>
              <w:jc w:val="both"/>
              <w:rPr>
                <w:rFonts w:ascii="Arial" w:hAnsi="Arial" w:cs="Arial"/>
                <w:sz w:val="24"/>
                <w:szCs w:val="24"/>
              </w:rPr>
            </w:pPr>
            <w:r w:rsidRPr="004752BA">
              <w:rPr>
                <w:rFonts w:ascii="Arial" w:hAnsi="Arial" w:cs="Arial"/>
                <w:sz w:val="24"/>
                <w:szCs w:val="24"/>
              </w:rPr>
              <w:t>Las cuatro competencias comunicativas.</w:t>
            </w:r>
          </w:p>
        </w:tc>
        <w:tc>
          <w:tcPr>
            <w:tcW w:w="2882" w:type="dxa"/>
          </w:tcPr>
          <w:p w:rsidR="009F12FA" w:rsidRPr="004752BA" w:rsidRDefault="009F12FA" w:rsidP="008D389C">
            <w:pPr>
              <w:jc w:val="center"/>
              <w:rPr>
                <w:rFonts w:ascii="Arial" w:hAnsi="Arial" w:cs="Arial"/>
                <w:sz w:val="24"/>
                <w:szCs w:val="24"/>
              </w:rPr>
            </w:pPr>
            <w:r w:rsidRPr="004752BA">
              <w:rPr>
                <w:rFonts w:ascii="Arial" w:hAnsi="Arial" w:cs="Arial"/>
                <w:sz w:val="24"/>
                <w:szCs w:val="24"/>
              </w:rPr>
              <w:t>Fecha:</w:t>
            </w:r>
          </w:p>
          <w:p w:rsidR="009F12FA" w:rsidRPr="004752BA" w:rsidRDefault="009F12FA" w:rsidP="008D389C">
            <w:pPr>
              <w:jc w:val="both"/>
              <w:rPr>
                <w:rFonts w:ascii="Arial" w:hAnsi="Arial" w:cs="Arial"/>
                <w:sz w:val="24"/>
                <w:szCs w:val="24"/>
              </w:rPr>
            </w:pPr>
            <w:r w:rsidRPr="004752BA">
              <w:rPr>
                <w:rFonts w:ascii="Arial" w:hAnsi="Arial" w:cs="Arial"/>
                <w:sz w:val="24"/>
                <w:szCs w:val="24"/>
              </w:rPr>
              <w:t>19 de octubre de 2013</w:t>
            </w:r>
          </w:p>
        </w:tc>
      </w:tr>
      <w:tr w:rsidR="009F12FA" w:rsidTr="008D389C">
        <w:tc>
          <w:tcPr>
            <w:tcW w:w="4322" w:type="dxa"/>
            <w:gridSpan w:val="2"/>
          </w:tcPr>
          <w:p w:rsidR="009F12FA" w:rsidRPr="004752BA" w:rsidRDefault="009F12FA" w:rsidP="008D389C">
            <w:pPr>
              <w:jc w:val="both"/>
              <w:rPr>
                <w:rFonts w:ascii="Arial" w:hAnsi="Arial" w:cs="Arial"/>
                <w:sz w:val="24"/>
                <w:szCs w:val="24"/>
              </w:rPr>
            </w:pPr>
            <w:r w:rsidRPr="004752BA">
              <w:rPr>
                <w:rFonts w:ascii="Arial" w:hAnsi="Arial" w:cs="Arial"/>
                <w:sz w:val="24"/>
                <w:szCs w:val="24"/>
              </w:rPr>
              <w:t>Practica social del lenguaje:</w:t>
            </w:r>
          </w:p>
          <w:p w:rsidR="009F12FA" w:rsidRPr="004752BA" w:rsidRDefault="009F12FA" w:rsidP="008D389C">
            <w:pPr>
              <w:jc w:val="both"/>
              <w:rPr>
                <w:rFonts w:ascii="Arial" w:hAnsi="Arial" w:cs="Arial"/>
                <w:sz w:val="24"/>
                <w:szCs w:val="24"/>
              </w:rPr>
            </w:pPr>
            <w:r w:rsidRPr="004752BA">
              <w:rPr>
                <w:rFonts w:ascii="Arial" w:hAnsi="Arial" w:cs="Arial"/>
                <w:sz w:val="24"/>
                <w:szCs w:val="24"/>
              </w:rPr>
              <w:t>Narrar oralmente desde la recuperación de experiencias personales.</w:t>
            </w:r>
          </w:p>
          <w:p w:rsidR="009F12FA" w:rsidRPr="004752BA" w:rsidRDefault="009F12FA" w:rsidP="008D389C">
            <w:pPr>
              <w:jc w:val="both"/>
              <w:rPr>
                <w:rFonts w:ascii="Arial" w:hAnsi="Arial" w:cs="Arial"/>
                <w:sz w:val="24"/>
                <w:szCs w:val="24"/>
              </w:rPr>
            </w:pPr>
          </w:p>
        </w:tc>
        <w:tc>
          <w:tcPr>
            <w:tcW w:w="4360" w:type="dxa"/>
            <w:gridSpan w:val="3"/>
          </w:tcPr>
          <w:p w:rsidR="009F12FA" w:rsidRPr="004752BA" w:rsidRDefault="009F12FA" w:rsidP="008D389C">
            <w:pPr>
              <w:jc w:val="both"/>
              <w:rPr>
                <w:rFonts w:ascii="Arial" w:hAnsi="Arial" w:cs="Arial"/>
                <w:sz w:val="24"/>
                <w:szCs w:val="24"/>
              </w:rPr>
            </w:pPr>
            <w:r w:rsidRPr="004752BA">
              <w:rPr>
                <w:rFonts w:ascii="Arial" w:hAnsi="Arial" w:cs="Arial"/>
                <w:sz w:val="24"/>
                <w:szCs w:val="24"/>
              </w:rPr>
              <w:t>Ámbito:</w:t>
            </w:r>
          </w:p>
          <w:p w:rsidR="009F12FA" w:rsidRPr="004752BA" w:rsidRDefault="009F12FA" w:rsidP="008D389C">
            <w:pPr>
              <w:jc w:val="both"/>
              <w:rPr>
                <w:rFonts w:ascii="Arial" w:hAnsi="Arial" w:cs="Arial"/>
                <w:sz w:val="24"/>
                <w:szCs w:val="24"/>
              </w:rPr>
            </w:pPr>
            <w:r w:rsidRPr="004752BA">
              <w:rPr>
                <w:rFonts w:ascii="Arial" w:hAnsi="Arial" w:cs="Arial"/>
                <w:sz w:val="24"/>
                <w:szCs w:val="24"/>
              </w:rPr>
              <w:t>Participación social y literatura.</w:t>
            </w:r>
          </w:p>
        </w:tc>
      </w:tr>
      <w:tr w:rsidR="009F12FA" w:rsidTr="008D389C">
        <w:tc>
          <w:tcPr>
            <w:tcW w:w="4322" w:type="dxa"/>
            <w:gridSpan w:val="2"/>
          </w:tcPr>
          <w:p w:rsidR="009F12FA" w:rsidRPr="004752BA" w:rsidRDefault="009F12FA" w:rsidP="008D389C">
            <w:pPr>
              <w:jc w:val="both"/>
              <w:rPr>
                <w:rFonts w:ascii="Arial" w:hAnsi="Arial" w:cs="Arial"/>
                <w:sz w:val="24"/>
                <w:szCs w:val="24"/>
              </w:rPr>
            </w:pPr>
            <w:r w:rsidRPr="004752BA">
              <w:rPr>
                <w:rFonts w:ascii="Arial" w:hAnsi="Arial" w:cs="Arial"/>
                <w:sz w:val="24"/>
                <w:szCs w:val="24"/>
              </w:rPr>
              <w:t>Aprendizajes esperados:</w:t>
            </w:r>
          </w:p>
          <w:p w:rsidR="009F12FA" w:rsidRPr="004752BA" w:rsidRDefault="009F12FA" w:rsidP="008D389C">
            <w:pPr>
              <w:jc w:val="both"/>
              <w:rPr>
                <w:rFonts w:ascii="Arial" w:hAnsi="Arial" w:cs="Arial"/>
                <w:sz w:val="24"/>
                <w:szCs w:val="24"/>
              </w:rPr>
            </w:pPr>
            <w:r w:rsidRPr="004752BA">
              <w:rPr>
                <w:rFonts w:ascii="Arial" w:hAnsi="Arial" w:cs="Arial"/>
                <w:sz w:val="24"/>
                <w:szCs w:val="24"/>
              </w:rPr>
              <w:t>Emplea el lenguaje oral para comunicarse y establece relaciones sociales. Aprende utilizando el lenguaje oral como medio. Identifica las propiedades del lenguaje oral en diversas situaciones comunicativas.</w:t>
            </w:r>
          </w:p>
        </w:tc>
        <w:tc>
          <w:tcPr>
            <w:tcW w:w="4360" w:type="dxa"/>
            <w:gridSpan w:val="3"/>
          </w:tcPr>
          <w:p w:rsidR="009F12FA" w:rsidRPr="004752BA" w:rsidRDefault="009F12FA" w:rsidP="008D389C">
            <w:pPr>
              <w:jc w:val="both"/>
              <w:rPr>
                <w:rFonts w:ascii="Arial" w:hAnsi="Arial" w:cs="Arial"/>
                <w:sz w:val="24"/>
                <w:szCs w:val="24"/>
              </w:rPr>
            </w:pPr>
            <w:r w:rsidRPr="004752BA">
              <w:rPr>
                <w:rFonts w:ascii="Arial" w:hAnsi="Arial" w:cs="Arial"/>
                <w:sz w:val="24"/>
                <w:szCs w:val="24"/>
              </w:rPr>
              <w:t>Temas de reflexión:</w:t>
            </w:r>
          </w:p>
          <w:p w:rsidR="009F12FA" w:rsidRPr="004752BA" w:rsidRDefault="009F12FA" w:rsidP="008D389C">
            <w:pPr>
              <w:jc w:val="both"/>
              <w:rPr>
                <w:rFonts w:ascii="Arial" w:hAnsi="Arial" w:cs="Arial"/>
                <w:sz w:val="24"/>
                <w:szCs w:val="24"/>
              </w:rPr>
            </w:pPr>
            <w:r w:rsidRPr="004752BA">
              <w:rPr>
                <w:rFonts w:ascii="Arial" w:hAnsi="Arial" w:cs="Arial"/>
                <w:sz w:val="24"/>
                <w:szCs w:val="24"/>
              </w:rPr>
              <w:t>Cielito lindo. Canción tradicional mexicana. Pedro Infante.1945 Peerlees.</w:t>
            </w:r>
          </w:p>
          <w:p w:rsidR="009F12FA" w:rsidRPr="004752BA" w:rsidRDefault="009F12FA" w:rsidP="008D389C">
            <w:pPr>
              <w:jc w:val="both"/>
              <w:rPr>
                <w:rFonts w:ascii="Arial" w:hAnsi="Arial" w:cs="Arial"/>
                <w:sz w:val="24"/>
                <w:szCs w:val="24"/>
              </w:rPr>
            </w:pPr>
            <w:r w:rsidRPr="004752BA">
              <w:rPr>
                <w:rFonts w:ascii="Arial" w:hAnsi="Arial" w:cs="Arial"/>
                <w:sz w:val="24"/>
                <w:szCs w:val="24"/>
              </w:rPr>
              <w:t>Bombón I. Gabilondo Soler.1935.Selecciones del Reader´s Digest.</w:t>
            </w:r>
          </w:p>
        </w:tc>
      </w:tr>
      <w:tr w:rsidR="009F12FA" w:rsidTr="008D389C">
        <w:tc>
          <w:tcPr>
            <w:tcW w:w="8682" w:type="dxa"/>
            <w:gridSpan w:val="5"/>
          </w:tcPr>
          <w:p w:rsidR="009F12FA" w:rsidRPr="004752BA" w:rsidRDefault="009F12FA" w:rsidP="008D389C">
            <w:pPr>
              <w:jc w:val="both"/>
              <w:rPr>
                <w:rFonts w:ascii="Arial" w:hAnsi="Arial" w:cs="Arial"/>
                <w:sz w:val="24"/>
                <w:szCs w:val="24"/>
              </w:rPr>
            </w:pPr>
            <w:r w:rsidRPr="004752BA">
              <w:rPr>
                <w:rFonts w:ascii="Arial" w:hAnsi="Arial" w:cs="Arial"/>
                <w:sz w:val="24"/>
                <w:szCs w:val="24"/>
              </w:rPr>
              <w:t>Situación didáctica: reconocer las características de la narración oral desde la recuperación de experiencias propias con el lenguaje.</w:t>
            </w:r>
          </w:p>
        </w:tc>
      </w:tr>
      <w:tr w:rsidR="009F12FA" w:rsidTr="008D389C">
        <w:tc>
          <w:tcPr>
            <w:tcW w:w="8682" w:type="dxa"/>
            <w:gridSpan w:val="5"/>
          </w:tcPr>
          <w:p w:rsidR="009F12FA" w:rsidRPr="004752BA" w:rsidRDefault="009F12FA" w:rsidP="008D389C">
            <w:pPr>
              <w:jc w:val="both"/>
              <w:rPr>
                <w:rFonts w:ascii="Arial" w:hAnsi="Arial" w:cs="Arial"/>
                <w:sz w:val="24"/>
                <w:szCs w:val="24"/>
              </w:rPr>
            </w:pPr>
            <w:r w:rsidRPr="004752BA">
              <w:rPr>
                <w:rFonts w:ascii="Arial" w:hAnsi="Arial" w:cs="Arial"/>
                <w:sz w:val="24"/>
                <w:szCs w:val="24"/>
              </w:rPr>
              <w:t>Observación del desarrollo de la situación didáctica: se presento el nombre del curso análisis textual para el desarrollo de las competencias lectoras. Al inicio toda la actividad estuvo un tanto  acelerada porque los compañeros no hallaban su taller o curso al cual se habían inscrito entonces cuando finalmente nos acomodamos y comenzamos el día de trabajo. Se empezó entregando las fichas del curso y así el maestro Luis logro captar y conocer el nombre de algunos compañeros. Después el maestro pidió se presentaron voluntariamente diciendo su nombre, la escuela y su opinión sobre el curso, enseguida leímos el propósito general del curso, los temas de las ocho sesiones, las actividades de aprendizaje la evaluación y las rubricas de evaluación. Posteriormente comenzamos con la sesión 1 con el tema de la oralidad de la escritura en el cual su propósito fue reconocer las características de la narración oral desde la recuperación de experiencias propias con el lenguaje sus competencias; emplea, aprende e identifica las propiedades del lenguaje oral en diversas situaciones comunicativas, la duración de 5 horas y los materiales que se usaran en la sesión.</w:t>
            </w:r>
          </w:p>
          <w:p w:rsidR="009F12FA" w:rsidRPr="004752BA" w:rsidRDefault="009F12FA" w:rsidP="008D389C">
            <w:pPr>
              <w:jc w:val="both"/>
              <w:rPr>
                <w:rFonts w:ascii="Arial" w:hAnsi="Arial" w:cs="Arial"/>
                <w:sz w:val="24"/>
                <w:szCs w:val="24"/>
              </w:rPr>
            </w:pPr>
            <w:r w:rsidRPr="004752BA">
              <w:rPr>
                <w:rFonts w:ascii="Arial" w:hAnsi="Arial" w:cs="Arial"/>
                <w:sz w:val="24"/>
                <w:szCs w:val="24"/>
              </w:rPr>
              <w:t>Escuchamos la canción de “Cielito lindo” de la cual se desprendieron las opiniones de las diversas expectativas que tenían sobre lo que se escucho de la canción llegando todos a la conclusión de que cielito lindo no era una canción mexicana sino española escrita por Lope de Vega.</w:t>
            </w:r>
          </w:p>
          <w:p w:rsidR="009F12FA" w:rsidRPr="004752BA" w:rsidRDefault="009F12FA" w:rsidP="008D389C">
            <w:pPr>
              <w:jc w:val="both"/>
              <w:rPr>
                <w:rFonts w:ascii="Arial" w:hAnsi="Arial" w:cs="Arial"/>
                <w:sz w:val="24"/>
                <w:szCs w:val="24"/>
              </w:rPr>
            </w:pPr>
            <w:r w:rsidRPr="004752BA">
              <w:rPr>
                <w:rFonts w:ascii="Arial" w:hAnsi="Arial" w:cs="Arial"/>
                <w:sz w:val="24"/>
                <w:szCs w:val="24"/>
              </w:rPr>
              <w:t>Cont5inuamos con la canción de “Bombón I” en ella analizamos la situación que se vio en la presidencia de Ávila Camacho por la fuerte de la letra; en la cual habla sobre pobreza y riqueza, dos temas que son completamente aislados uno de otro y que comparado con la situación actual se está volviendo a dar porque el rey tienen todo y el pueblo hambre.</w:t>
            </w:r>
          </w:p>
          <w:p w:rsidR="009F12FA" w:rsidRPr="004752BA" w:rsidRDefault="009F12FA" w:rsidP="008D389C">
            <w:pPr>
              <w:jc w:val="both"/>
              <w:rPr>
                <w:rFonts w:ascii="Arial" w:hAnsi="Arial" w:cs="Arial"/>
                <w:sz w:val="24"/>
                <w:szCs w:val="24"/>
              </w:rPr>
            </w:pPr>
            <w:r w:rsidRPr="004752BA">
              <w:rPr>
                <w:rFonts w:ascii="Arial" w:hAnsi="Arial" w:cs="Arial"/>
                <w:sz w:val="24"/>
                <w:szCs w:val="24"/>
              </w:rPr>
              <w:t>Finalmente se contestaron las preguntas  de la página 20,21 y 22 del libro análisis textual para el desarrollo de las competencias lectoras, se dieron avisos, se dejo la tarea de un Diario de campo y se firmo lista de asistencia.</w:t>
            </w:r>
          </w:p>
        </w:tc>
      </w:tr>
    </w:tbl>
    <w:p w:rsidR="009F12FA" w:rsidRPr="004752BA" w:rsidRDefault="009F12FA" w:rsidP="009F12FA">
      <w:pPr>
        <w:jc w:val="center"/>
        <w:rPr>
          <w:rFonts w:ascii="Arial" w:hAnsi="Arial" w:cs="Arial"/>
          <w:sz w:val="32"/>
          <w:szCs w:val="32"/>
        </w:rPr>
      </w:pPr>
      <w:r>
        <w:rPr>
          <w:rFonts w:ascii="Arial" w:hAnsi="Arial" w:cs="Arial"/>
          <w:sz w:val="32"/>
          <w:szCs w:val="32"/>
        </w:rPr>
        <w:t>DIARIO DE CAMPO</w:t>
      </w:r>
    </w:p>
    <w:sectPr w:rsidR="009F12FA" w:rsidRPr="004752BA" w:rsidSect="00BF1A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A20058"/>
    <w:rsid w:val="00310766"/>
    <w:rsid w:val="004752BA"/>
    <w:rsid w:val="006A6DF3"/>
    <w:rsid w:val="008D6552"/>
    <w:rsid w:val="009F12FA"/>
    <w:rsid w:val="00A20058"/>
    <w:rsid w:val="00BF1A28"/>
    <w:rsid w:val="00FF24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A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20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yeni</cp:lastModifiedBy>
  <cp:revision>2</cp:revision>
  <dcterms:created xsi:type="dcterms:W3CDTF">2013-10-22T23:47:00Z</dcterms:created>
  <dcterms:modified xsi:type="dcterms:W3CDTF">2013-10-22T23:47:00Z</dcterms:modified>
</cp:coreProperties>
</file>