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C2D" w:rsidRDefault="00182C2D" w:rsidP="00182C2D">
      <w:pPr>
        <w:jc w:val="center"/>
        <w:rPr>
          <w:rFonts w:ascii="Century Gothic" w:hAnsi="Century Gothic"/>
          <w:b/>
          <w:color w:val="E36C0A" w:themeColor="accent6" w:themeShade="BF"/>
          <w:sz w:val="36"/>
          <w:szCs w:val="36"/>
        </w:rPr>
      </w:pPr>
    </w:p>
    <w:p w:rsidR="00182C2D" w:rsidRDefault="00182C2D" w:rsidP="00182C2D">
      <w:pPr>
        <w:jc w:val="center"/>
        <w:rPr>
          <w:rFonts w:ascii="Century Gothic" w:hAnsi="Century Gothic"/>
          <w:b/>
          <w:color w:val="E36C0A" w:themeColor="accent6" w:themeShade="BF"/>
          <w:sz w:val="36"/>
          <w:szCs w:val="36"/>
        </w:rPr>
      </w:pPr>
    </w:p>
    <w:p w:rsidR="00182C2D" w:rsidRDefault="00182C2D" w:rsidP="00182C2D">
      <w:pPr>
        <w:jc w:val="center"/>
        <w:rPr>
          <w:rFonts w:ascii="Century Gothic" w:hAnsi="Century Gothic"/>
          <w:b/>
          <w:color w:val="E36C0A" w:themeColor="accent6" w:themeShade="BF"/>
          <w:sz w:val="36"/>
          <w:szCs w:val="36"/>
        </w:rPr>
      </w:pPr>
    </w:p>
    <w:p w:rsidR="00182C2D" w:rsidRPr="008F01C1" w:rsidRDefault="00182C2D" w:rsidP="00182C2D">
      <w:pPr>
        <w:jc w:val="center"/>
        <w:rPr>
          <w:rFonts w:ascii="Century Gothic" w:hAnsi="Century Gothic"/>
          <w:b/>
          <w:color w:val="E36C0A" w:themeColor="accent6" w:themeShade="BF"/>
          <w:sz w:val="36"/>
          <w:szCs w:val="36"/>
        </w:rPr>
      </w:pPr>
      <w:r w:rsidRPr="008F01C1">
        <w:rPr>
          <w:rFonts w:ascii="Century Gothic" w:hAnsi="Century Gothic"/>
          <w:b/>
          <w:color w:val="E36C0A" w:themeColor="accent6" w:themeShade="BF"/>
          <w:sz w:val="36"/>
          <w:szCs w:val="36"/>
        </w:rPr>
        <w:t>Análisis textual pa</w:t>
      </w:r>
      <w:r>
        <w:rPr>
          <w:rFonts w:ascii="Century Gothic" w:hAnsi="Century Gothic"/>
          <w:b/>
          <w:color w:val="E36C0A" w:themeColor="accent6" w:themeShade="BF"/>
          <w:sz w:val="36"/>
          <w:szCs w:val="36"/>
        </w:rPr>
        <w:t>ra el desarrollo de competencia</w:t>
      </w:r>
      <w:r w:rsidRPr="008F01C1">
        <w:rPr>
          <w:rFonts w:ascii="Century Gothic" w:hAnsi="Century Gothic"/>
          <w:b/>
          <w:color w:val="E36C0A" w:themeColor="accent6" w:themeShade="BF"/>
          <w:sz w:val="36"/>
          <w:szCs w:val="36"/>
        </w:rPr>
        <w:t xml:space="preserve"> lectora </w:t>
      </w:r>
    </w:p>
    <w:p w:rsidR="00182C2D" w:rsidRDefault="00182C2D" w:rsidP="00182C2D">
      <w:pPr>
        <w:jc w:val="center"/>
        <w:rPr>
          <w:rFonts w:ascii="Century Gothic" w:hAnsi="Century Gothic"/>
          <w:b/>
          <w:color w:val="FF0000"/>
        </w:rPr>
      </w:pPr>
      <w:r>
        <w:rPr>
          <w:noProof/>
        </w:rPr>
        <w:drawing>
          <wp:inline distT="0" distB="0" distL="0" distR="0">
            <wp:extent cx="3248936" cy="2289975"/>
            <wp:effectExtent l="19050" t="0" r="8614" b="0"/>
            <wp:docPr id="2" name="Imagen 1" descr="https://encrypted-tbn3.gstatic.com/images?q=tbn:ANd9GcQxDJ7GpKN6znQCbChiZG_IYm_49UIPmSAJtTJfdqBDBBCTS0HE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xDJ7GpKN6znQCbChiZG_IYm_49UIPmSAJtTJfdqBDBBCTS0HEig"/>
                    <pic:cNvPicPr>
                      <a:picLocks noChangeAspect="1" noChangeArrowheads="1"/>
                    </pic:cNvPicPr>
                  </pic:nvPicPr>
                  <pic:blipFill>
                    <a:blip r:embed="rId5"/>
                    <a:srcRect/>
                    <a:stretch>
                      <a:fillRect/>
                    </a:stretch>
                  </pic:blipFill>
                  <pic:spPr bwMode="auto">
                    <a:xfrm>
                      <a:off x="0" y="0"/>
                      <a:ext cx="3252618" cy="2292570"/>
                    </a:xfrm>
                    <a:prstGeom prst="rect">
                      <a:avLst/>
                    </a:prstGeom>
                    <a:noFill/>
                    <a:ln w="9525">
                      <a:noFill/>
                      <a:miter lim="800000"/>
                      <a:headEnd/>
                      <a:tailEnd/>
                    </a:ln>
                  </pic:spPr>
                </pic:pic>
              </a:graphicData>
            </a:graphic>
          </wp:inline>
        </w:drawing>
      </w:r>
    </w:p>
    <w:p w:rsidR="00182C2D" w:rsidRDefault="00182C2D" w:rsidP="00182C2D">
      <w:pPr>
        <w:jc w:val="center"/>
        <w:rPr>
          <w:rFonts w:ascii="Century Gothic" w:hAnsi="Century Gothic"/>
          <w:b/>
          <w:color w:val="0070C0"/>
        </w:rPr>
      </w:pPr>
    </w:p>
    <w:p w:rsidR="00182C2D" w:rsidRDefault="00182C2D" w:rsidP="00182C2D">
      <w:pPr>
        <w:jc w:val="center"/>
        <w:rPr>
          <w:rFonts w:ascii="Century Gothic" w:hAnsi="Century Gothic"/>
          <w:b/>
          <w:color w:val="0070C0"/>
        </w:rPr>
      </w:pPr>
    </w:p>
    <w:p w:rsidR="00182C2D" w:rsidRDefault="00182C2D" w:rsidP="00182C2D">
      <w:pPr>
        <w:jc w:val="center"/>
        <w:rPr>
          <w:rFonts w:ascii="Century Gothic" w:hAnsi="Century Gothic"/>
          <w:b/>
          <w:color w:val="0070C0"/>
        </w:rPr>
      </w:pPr>
      <w:r w:rsidRPr="008F01C1">
        <w:rPr>
          <w:rFonts w:ascii="Century Gothic" w:hAnsi="Century Gothic"/>
          <w:b/>
          <w:color w:val="0070C0"/>
        </w:rPr>
        <w:t>Centro de maestros 1415</w:t>
      </w:r>
    </w:p>
    <w:p w:rsidR="00182C2D" w:rsidRPr="008F01C1" w:rsidRDefault="00182C2D" w:rsidP="00182C2D">
      <w:pPr>
        <w:jc w:val="center"/>
        <w:rPr>
          <w:rFonts w:ascii="Century Gothic" w:hAnsi="Century Gothic"/>
          <w:b/>
          <w:color w:val="0070C0"/>
        </w:rPr>
      </w:pPr>
      <w:r>
        <w:rPr>
          <w:rFonts w:ascii="Century Gothic" w:hAnsi="Century Gothic"/>
          <w:b/>
          <w:color w:val="0070C0"/>
        </w:rPr>
        <w:t>Sesión 2: sábado 26 de octubre  del 2013</w:t>
      </w:r>
    </w:p>
    <w:p w:rsidR="00182C2D" w:rsidRDefault="00182C2D" w:rsidP="00182C2D">
      <w:pPr>
        <w:jc w:val="center"/>
        <w:rPr>
          <w:rFonts w:ascii="Century Gothic" w:hAnsi="Century Gothic"/>
          <w:b/>
          <w:color w:val="0070C0"/>
        </w:rPr>
      </w:pPr>
      <w:r w:rsidRPr="008F01C1">
        <w:rPr>
          <w:rFonts w:ascii="Century Gothic" w:hAnsi="Century Gothic"/>
          <w:b/>
          <w:color w:val="0070C0"/>
        </w:rPr>
        <w:t xml:space="preserve">Mtra. Yenitza del Rosario García Maciel </w:t>
      </w:r>
    </w:p>
    <w:p w:rsidR="00E97200" w:rsidRPr="008F01C1" w:rsidRDefault="00E97200" w:rsidP="00182C2D">
      <w:pPr>
        <w:jc w:val="center"/>
        <w:rPr>
          <w:rFonts w:ascii="Century Gothic" w:hAnsi="Century Gothic"/>
          <w:b/>
          <w:color w:val="0070C0"/>
        </w:rPr>
      </w:pPr>
      <w:r>
        <w:rPr>
          <w:rFonts w:ascii="Century Gothic" w:hAnsi="Century Gothic"/>
          <w:b/>
          <w:color w:val="0070C0"/>
        </w:rPr>
        <w:t xml:space="preserve">Mtro. Daniel Díaz de Sandi Solórzano </w:t>
      </w:r>
    </w:p>
    <w:p w:rsidR="00182C2D" w:rsidRDefault="00182C2D" w:rsidP="00182C2D">
      <w:pPr>
        <w:jc w:val="center"/>
        <w:rPr>
          <w:rFonts w:ascii="Century Gothic" w:hAnsi="Century Gothic"/>
          <w:b/>
          <w:color w:val="FF0000"/>
        </w:rPr>
      </w:pPr>
    </w:p>
    <w:p w:rsidR="00182C2D" w:rsidRDefault="00182C2D" w:rsidP="00182C2D">
      <w:pPr>
        <w:jc w:val="center"/>
        <w:rPr>
          <w:rFonts w:ascii="Century Gothic" w:hAnsi="Century Gothic"/>
          <w:b/>
          <w:color w:val="FF0000"/>
        </w:rPr>
      </w:pPr>
    </w:p>
    <w:p w:rsidR="00182C2D" w:rsidRDefault="00182C2D" w:rsidP="00182C2D">
      <w:pPr>
        <w:jc w:val="center"/>
        <w:rPr>
          <w:rFonts w:ascii="Century Gothic" w:hAnsi="Century Gothic"/>
          <w:b/>
          <w:color w:val="FF0000"/>
        </w:rPr>
      </w:pPr>
    </w:p>
    <w:p w:rsidR="00182C2D" w:rsidRDefault="00182C2D" w:rsidP="00182C2D">
      <w:pPr>
        <w:jc w:val="center"/>
        <w:rPr>
          <w:rFonts w:ascii="Century Gothic" w:hAnsi="Century Gothic"/>
          <w:b/>
          <w:color w:val="FF0000"/>
        </w:rPr>
      </w:pPr>
    </w:p>
    <w:p w:rsidR="00182C2D" w:rsidRDefault="00182C2D" w:rsidP="00182C2D">
      <w:pPr>
        <w:jc w:val="center"/>
        <w:rPr>
          <w:rFonts w:ascii="Century Gothic" w:hAnsi="Century Gothic"/>
          <w:b/>
          <w:color w:val="FF0000"/>
        </w:rPr>
      </w:pPr>
    </w:p>
    <w:p w:rsidR="00182C2D" w:rsidRDefault="00182C2D" w:rsidP="00182C2D">
      <w:pPr>
        <w:jc w:val="center"/>
        <w:rPr>
          <w:rFonts w:ascii="Century Gothic" w:hAnsi="Century Gothic"/>
          <w:b/>
          <w:color w:val="FF0000"/>
        </w:rPr>
      </w:pPr>
    </w:p>
    <w:p w:rsidR="00182C2D" w:rsidRDefault="00182C2D" w:rsidP="00182C2D">
      <w:pPr>
        <w:jc w:val="center"/>
        <w:rPr>
          <w:rFonts w:ascii="Century Gothic" w:hAnsi="Century Gothic"/>
          <w:b/>
          <w:color w:val="FF0000"/>
        </w:rPr>
      </w:pPr>
    </w:p>
    <w:p w:rsidR="00182C2D" w:rsidRDefault="00182C2D" w:rsidP="00182C2D">
      <w:pPr>
        <w:rPr>
          <w:rFonts w:ascii="Century Gothic" w:hAnsi="Century Gothic"/>
          <w:b/>
          <w:color w:val="FF0000"/>
        </w:rPr>
      </w:pPr>
    </w:p>
    <w:p w:rsidR="00182C2D" w:rsidRPr="00EA447D" w:rsidRDefault="00182C2D" w:rsidP="00182C2D">
      <w:pPr>
        <w:rPr>
          <w:rFonts w:ascii="Century Gothic" w:hAnsi="Century Gothic"/>
          <w:b/>
          <w:color w:val="FF0000"/>
        </w:rPr>
      </w:pPr>
    </w:p>
    <w:tbl>
      <w:tblPr>
        <w:tblStyle w:val="Tablaconcuadrcula"/>
        <w:tblW w:w="9322" w:type="dxa"/>
        <w:tblLook w:val="04A0"/>
      </w:tblPr>
      <w:tblGrid>
        <w:gridCol w:w="2518"/>
        <w:gridCol w:w="2693"/>
        <w:gridCol w:w="4111"/>
      </w:tblGrid>
      <w:tr w:rsidR="00182C2D" w:rsidRPr="00EA447D" w:rsidTr="000911A8">
        <w:tc>
          <w:tcPr>
            <w:tcW w:w="2518" w:type="dxa"/>
          </w:tcPr>
          <w:p w:rsidR="00182C2D" w:rsidRPr="00EA447D" w:rsidRDefault="00182C2D" w:rsidP="000911A8">
            <w:pPr>
              <w:jc w:val="center"/>
              <w:rPr>
                <w:rFonts w:ascii="Century Gothic" w:hAnsi="Century Gothic"/>
                <w:b/>
                <w:color w:val="FF0000"/>
              </w:rPr>
            </w:pPr>
            <w:r w:rsidRPr="00EA447D">
              <w:rPr>
                <w:rFonts w:ascii="Century Gothic" w:hAnsi="Century Gothic"/>
                <w:b/>
                <w:color w:val="00B050"/>
              </w:rPr>
              <w:t>Campo formativo:</w:t>
            </w:r>
          </w:p>
          <w:p w:rsidR="00182C2D" w:rsidRPr="008F01C1" w:rsidRDefault="00182C2D" w:rsidP="000911A8">
            <w:pPr>
              <w:jc w:val="center"/>
              <w:rPr>
                <w:rFonts w:ascii="Century Gothic" w:hAnsi="Century Gothic"/>
                <w:color w:val="FF0000"/>
              </w:rPr>
            </w:pPr>
            <w:r w:rsidRPr="008F01C1">
              <w:rPr>
                <w:rFonts w:ascii="Century Gothic" w:hAnsi="Century Gothic"/>
                <w:color w:val="262626" w:themeColor="text1" w:themeTint="D9"/>
              </w:rPr>
              <w:t>Lenguaje y comunicación</w:t>
            </w:r>
          </w:p>
        </w:tc>
        <w:tc>
          <w:tcPr>
            <w:tcW w:w="2693" w:type="dxa"/>
          </w:tcPr>
          <w:p w:rsidR="00182C2D" w:rsidRPr="00EA447D" w:rsidRDefault="00182C2D" w:rsidP="000911A8">
            <w:pPr>
              <w:jc w:val="center"/>
              <w:rPr>
                <w:rFonts w:ascii="Century Gothic" w:hAnsi="Century Gothic"/>
                <w:b/>
                <w:color w:val="FF0000"/>
              </w:rPr>
            </w:pPr>
            <w:r w:rsidRPr="00EA447D">
              <w:rPr>
                <w:rFonts w:ascii="Century Gothic" w:hAnsi="Century Gothic"/>
                <w:b/>
                <w:color w:val="00B050"/>
              </w:rPr>
              <w:t>Competencias que se favorecen:</w:t>
            </w:r>
          </w:p>
          <w:p w:rsidR="00182C2D" w:rsidRPr="008F01C1" w:rsidRDefault="00182C2D" w:rsidP="000911A8">
            <w:pPr>
              <w:jc w:val="center"/>
              <w:rPr>
                <w:rFonts w:ascii="Century Gothic" w:hAnsi="Century Gothic"/>
                <w:color w:val="FF0000"/>
              </w:rPr>
            </w:pPr>
            <w:r w:rsidRPr="008F01C1">
              <w:rPr>
                <w:rFonts w:ascii="Century Gothic" w:hAnsi="Century Gothic"/>
                <w:color w:val="262626" w:themeColor="text1" w:themeTint="D9"/>
              </w:rPr>
              <w:t>todas las competencias comunicativas</w:t>
            </w:r>
          </w:p>
        </w:tc>
        <w:tc>
          <w:tcPr>
            <w:tcW w:w="4111" w:type="dxa"/>
          </w:tcPr>
          <w:p w:rsidR="00182C2D" w:rsidRPr="00EA447D" w:rsidRDefault="00182C2D" w:rsidP="000911A8">
            <w:pPr>
              <w:jc w:val="center"/>
              <w:rPr>
                <w:rFonts w:ascii="Century Gothic" w:hAnsi="Century Gothic"/>
                <w:b/>
                <w:color w:val="FF0000"/>
              </w:rPr>
            </w:pPr>
            <w:r w:rsidRPr="00EA447D">
              <w:rPr>
                <w:rFonts w:ascii="Century Gothic" w:hAnsi="Century Gothic"/>
                <w:b/>
                <w:color w:val="00B050"/>
              </w:rPr>
              <w:t>Fecha:</w:t>
            </w:r>
            <w:r w:rsidRPr="00EA447D">
              <w:rPr>
                <w:rFonts w:ascii="Century Gothic" w:hAnsi="Century Gothic"/>
                <w:b/>
                <w:color w:val="FF0000"/>
              </w:rPr>
              <w:t xml:space="preserve"> </w:t>
            </w:r>
            <w:r>
              <w:rPr>
                <w:rFonts w:ascii="Century Gothic" w:hAnsi="Century Gothic"/>
                <w:color w:val="262626" w:themeColor="text1" w:themeTint="D9"/>
              </w:rPr>
              <w:t>sábado 26</w:t>
            </w:r>
            <w:r w:rsidRPr="008F01C1">
              <w:rPr>
                <w:rFonts w:ascii="Century Gothic" w:hAnsi="Century Gothic"/>
                <w:color w:val="262626" w:themeColor="text1" w:themeTint="D9"/>
              </w:rPr>
              <w:t xml:space="preserve"> de octubre del 2013</w:t>
            </w:r>
          </w:p>
        </w:tc>
      </w:tr>
      <w:tr w:rsidR="00182C2D" w:rsidRPr="00EA447D" w:rsidTr="000911A8">
        <w:tc>
          <w:tcPr>
            <w:tcW w:w="5211" w:type="dxa"/>
            <w:gridSpan w:val="2"/>
          </w:tcPr>
          <w:p w:rsidR="00182C2D" w:rsidRDefault="00182C2D" w:rsidP="000911A8">
            <w:pPr>
              <w:jc w:val="center"/>
              <w:rPr>
                <w:rFonts w:ascii="Century Gothic" w:hAnsi="Century Gothic"/>
                <w:b/>
                <w:color w:val="00B050"/>
              </w:rPr>
            </w:pPr>
            <w:r w:rsidRPr="00EA447D">
              <w:rPr>
                <w:rFonts w:ascii="Century Gothic" w:hAnsi="Century Gothic"/>
                <w:b/>
                <w:color w:val="00B050"/>
              </w:rPr>
              <w:t xml:space="preserve">Practica social del lenguaje: </w:t>
            </w:r>
          </w:p>
          <w:p w:rsidR="00182C2D" w:rsidRPr="00EA447D" w:rsidRDefault="00182C2D" w:rsidP="000911A8">
            <w:pPr>
              <w:jc w:val="center"/>
              <w:rPr>
                <w:rFonts w:ascii="Century Gothic" w:hAnsi="Century Gothic"/>
                <w:b/>
              </w:rPr>
            </w:pPr>
            <w:r>
              <w:rPr>
                <w:rFonts w:ascii="Century Gothic" w:hAnsi="Century Gothic"/>
              </w:rPr>
              <w:t xml:space="preserve">De la oralidad a la escritura </w:t>
            </w:r>
          </w:p>
        </w:tc>
        <w:tc>
          <w:tcPr>
            <w:tcW w:w="4111" w:type="dxa"/>
          </w:tcPr>
          <w:p w:rsidR="00182C2D" w:rsidRPr="00EA447D" w:rsidRDefault="00182C2D" w:rsidP="000911A8">
            <w:pPr>
              <w:jc w:val="center"/>
              <w:rPr>
                <w:rFonts w:ascii="Century Gothic" w:hAnsi="Century Gothic"/>
                <w:b/>
                <w:color w:val="00B050"/>
              </w:rPr>
            </w:pPr>
            <w:r w:rsidRPr="00EA447D">
              <w:rPr>
                <w:rFonts w:ascii="Century Gothic" w:hAnsi="Century Gothic"/>
                <w:b/>
                <w:color w:val="00B050"/>
              </w:rPr>
              <w:t xml:space="preserve">Ámbito: </w:t>
            </w:r>
            <w:r w:rsidRPr="008F01C1">
              <w:rPr>
                <w:rFonts w:ascii="Century Gothic" w:hAnsi="Century Gothic"/>
              </w:rPr>
              <w:t xml:space="preserve">literatura </w:t>
            </w:r>
          </w:p>
        </w:tc>
      </w:tr>
      <w:tr w:rsidR="00182C2D" w:rsidRPr="00EA447D" w:rsidTr="000911A8">
        <w:tc>
          <w:tcPr>
            <w:tcW w:w="5211" w:type="dxa"/>
            <w:gridSpan w:val="2"/>
          </w:tcPr>
          <w:p w:rsidR="00182C2D" w:rsidRPr="00EA447D" w:rsidRDefault="00182C2D" w:rsidP="000911A8">
            <w:pPr>
              <w:autoSpaceDE w:val="0"/>
              <w:autoSpaceDN w:val="0"/>
              <w:adjustRightInd w:val="0"/>
              <w:rPr>
                <w:rFonts w:ascii="Century Gothic" w:hAnsi="Century Gothic"/>
                <w:b/>
                <w:color w:val="FF0000"/>
              </w:rPr>
            </w:pPr>
            <w:r w:rsidRPr="00EA447D">
              <w:rPr>
                <w:rFonts w:ascii="Century Gothic" w:hAnsi="Century Gothic"/>
                <w:b/>
                <w:color w:val="00B050"/>
              </w:rPr>
              <w:t>Aprendizajes esperados:</w:t>
            </w:r>
            <w:r w:rsidRPr="00EA447D">
              <w:rPr>
                <w:rFonts w:ascii="Century Gothic" w:hAnsi="Century Gothic"/>
                <w:b/>
                <w:color w:val="FF0000"/>
              </w:rPr>
              <w:t xml:space="preserve"> </w:t>
            </w:r>
          </w:p>
          <w:p w:rsidR="00182C2D" w:rsidRPr="00EA447D" w:rsidRDefault="00182C2D" w:rsidP="000911A8">
            <w:pPr>
              <w:autoSpaceDE w:val="0"/>
              <w:autoSpaceDN w:val="0"/>
              <w:adjustRightInd w:val="0"/>
              <w:rPr>
                <w:rFonts w:ascii="Century Gothic" w:hAnsi="Century Gothic" w:cs="Arial"/>
              </w:rPr>
            </w:pPr>
            <w:r w:rsidRPr="00EA447D">
              <w:rPr>
                <w:rFonts w:ascii="Century Gothic" w:hAnsi="Century Gothic" w:cs="Arial"/>
              </w:rPr>
              <w:t>Reconocer las características de la narración oral desde la recuperación de experiencias propias con el lenguaje.</w:t>
            </w:r>
          </w:p>
        </w:tc>
        <w:tc>
          <w:tcPr>
            <w:tcW w:w="4111" w:type="dxa"/>
          </w:tcPr>
          <w:p w:rsidR="00182C2D" w:rsidRPr="00EA447D" w:rsidRDefault="00182C2D" w:rsidP="000911A8">
            <w:pPr>
              <w:jc w:val="center"/>
              <w:rPr>
                <w:rFonts w:ascii="Century Gothic" w:hAnsi="Century Gothic"/>
                <w:b/>
                <w:color w:val="00B050"/>
              </w:rPr>
            </w:pPr>
            <w:r w:rsidRPr="00EA447D">
              <w:rPr>
                <w:rFonts w:ascii="Century Gothic" w:hAnsi="Century Gothic"/>
                <w:b/>
                <w:color w:val="00B050"/>
              </w:rPr>
              <w:t>Reflexión de la lengua</w:t>
            </w:r>
          </w:p>
          <w:p w:rsidR="00182C2D" w:rsidRPr="00EA447D" w:rsidRDefault="00182C2D" w:rsidP="000911A8">
            <w:pPr>
              <w:autoSpaceDE w:val="0"/>
              <w:autoSpaceDN w:val="0"/>
              <w:adjustRightInd w:val="0"/>
              <w:rPr>
                <w:rFonts w:ascii="Century Gothic" w:hAnsi="Century Gothic" w:cs="Arial"/>
              </w:rPr>
            </w:pPr>
            <w:r w:rsidRPr="00EA447D">
              <w:rPr>
                <w:rFonts w:ascii="Century Gothic" w:hAnsi="Century Gothic" w:cs="Arial"/>
              </w:rPr>
              <w:t>Reconocer las características de la narración oral desde la recuperación de experiencias propias con el lenguaje.</w:t>
            </w:r>
          </w:p>
          <w:p w:rsidR="00182C2D" w:rsidRPr="00EA447D" w:rsidRDefault="00182C2D" w:rsidP="000911A8">
            <w:pPr>
              <w:autoSpaceDE w:val="0"/>
              <w:autoSpaceDN w:val="0"/>
              <w:adjustRightInd w:val="0"/>
              <w:rPr>
                <w:rFonts w:ascii="Century Gothic" w:hAnsi="Century Gothic" w:cs="Arial"/>
              </w:rPr>
            </w:pPr>
            <w:r w:rsidRPr="00EA447D">
              <w:rPr>
                <w:rFonts w:ascii="Century Gothic" w:hAnsi="Century Gothic" w:cs="Arial"/>
              </w:rPr>
              <w:t>Interpretación y significado de la letra de las canciones (cielito lindo y bombón)</w:t>
            </w:r>
          </w:p>
        </w:tc>
      </w:tr>
      <w:tr w:rsidR="00182C2D" w:rsidRPr="00EA447D" w:rsidTr="000911A8">
        <w:tc>
          <w:tcPr>
            <w:tcW w:w="9322" w:type="dxa"/>
            <w:gridSpan w:val="3"/>
          </w:tcPr>
          <w:p w:rsidR="00182C2D" w:rsidRPr="00EA447D" w:rsidRDefault="00182C2D" w:rsidP="000911A8">
            <w:pPr>
              <w:jc w:val="both"/>
              <w:rPr>
                <w:rFonts w:ascii="Century Gothic" w:hAnsi="Century Gothic"/>
                <w:b/>
                <w:color w:val="00B050"/>
              </w:rPr>
            </w:pPr>
            <w:r w:rsidRPr="00EA447D">
              <w:rPr>
                <w:rFonts w:ascii="Century Gothic" w:hAnsi="Century Gothic"/>
                <w:b/>
                <w:color w:val="00B050"/>
              </w:rPr>
              <w:t xml:space="preserve">Situación didáctica:  </w:t>
            </w:r>
            <w:r w:rsidR="0082159C">
              <w:rPr>
                <w:rFonts w:ascii="Century Gothic" w:hAnsi="Century Gothic"/>
              </w:rPr>
              <w:t>Leer en voz alta</w:t>
            </w:r>
          </w:p>
        </w:tc>
      </w:tr>
      <w:tr w:rsidR="00182C2D" w:rsidRPr="00EA447D" w:rsidTr="000911A8">
        <w:trPr>
          <w:trHeight w:val="547"/>
        </w:trPr>
        <w:tc>
          <w:tcPr>
            <w:tcW w:w="9322" w:type="dxa"/>
            <w:gridSpan w:val="3"/>
          </w:tcPr>
          <w:p w:rsidR="00182C2D" w:rsidRPr="00EA447D" w:rsidRDefault="00182C2D" w:rsidP="000911A8">
            <w:pPr>
              <w:jc w:val="both"/>
              <w:rPr>
                <w:rFonts w:ascii="Century Gothic" w:hAnsi="Century Gothic"/>
                <w:b/>
                <w:color w:val="00B050"/>
              </w:rPr>
            </w:pPr>
            <w:r w:rsidRPr="00EA447D">
              <w:rPr>
                <w:rFonts w:ascii="Century Gothic" w:hAnsi="Century Gothic"/>
                <w:b/>
                <w:color w:val="00B050"/>
              </w:rPr>
              <w:t xml:space="preserve">Observación del desarrollo de la practica  </w:t>
            </w:r>
          </w:p>
          <w:p w:rsidR="00182C2D" w:rsidRDefault="0082159C" w:rsidP="00182C2D">
            <w:pPr>
              <w:autoSpaceDE w:val="0"/>
              <w:autoSpaceDN w:val="0"/>
              <w:adjustRightInd w:val="0"/>
              <w:jc w:val="both"/>
              <w:rPr>
                <w:rFonts w:ascii="Arial" w:hAnsi="Arial" w:cs="Arial"/>
              </w:rPr>
            </w:pPr>
            <w:r>
              <w:rPr>
                <w:rFonts w:ascii="Arial" w:hAnsi="Arial" w:cs="Arial"/>
              </w:rPr>
              <w:t xml:space="preserve">Hoy iniciamos con las incidencias de la sesión anterior. En el cual compañeros firmaron y no asistieron, llegaron tarde o se fueron antes de la hora de salida, etc. en el cual me parece  que no es justo, por que al igual que ellos tenemos actividades personales; que aun </w:t>
            </w:r>
            <w:r w:rsidR="00D91495">
              <w:rPr>
                <w:rFonts w:ascii="Arial" w:hAnsi="Arial" w:cs="Arial"/>
              </w:rPr>
              <w:t>así</w:t>
            </w:r>
            <w:r>
              <w:rPr>
                <w:rFonts w:ascii="Arial" w:hAnsi="Arial" w:cs="Arial"/>
              </w:rPr>
              <w:t xml:space="preserve"> cumplimos con la asistencia y permanencia.</w:t>
            </w:r>
          </w:p>
          <w:p w:rsidR="0082159C" w:rsidRDefault="0082159C" w:rsidP="00182C2D">
            <w:pPr>
              <w:autoSpaceDE w:val="0"/>
              <w:autoSpaceDN w:val="0"/>
              <w:adjustRightInd w:val="0"/>
              <w:jc w:val="both"/>
              <w:rPr>
                <w:rFonts w:ascii="Arial" w:hAnsi="Arial" w:cs="Arial"/>
              </w:rPr>
            </w:pPr>
          </w:p>
          <w:p w:rsidR="0082159C" w:rsidRDefault="0082159C" w:rsidP="00182C2D">
            <w:pPr>
              <w:autoSpaceDE w:val="0"/>
              <w:autoSpaceDN w:val="0"/>
              <w:adjustRightInd w:val="0"/>
              <w:jc w:val="both"/>
              <w:rPr>
                <w:rFonts w:ascii="Arial" w:hAnsi="Arial" w:cs="Arial"/>
              </w:rPr>
            </w:pPr>
            <w:r>
              <w:rPr>
                <w:rFonts w:ascii="Arial" w:hAnsi="Arial" w:cs="Arial"/>
              </w:rPr>
              <w:t>Se realizaron algunos comentarios sobre la tarea que me entregaron. Puesto que algunos trabajos tenían faltas ortográficas o de redacción. Por lo cual el asesor les pidió que lo corrigieran y lo volvieran a reenviar.</w:t>
            </w:r>
          </w:p>
          <w:p w:rsidR="0082159C" w:rsidRDefault="0082159C" w:rsidP="00182C2D">
            <w:pPr>
              <w:autoSpaceDE w:val="0"/>
              <w:autoSpaceDN w:val="0"/>
              <w:adjustRightInd w:val="0"/>
              <w:jc w:val="both"/>
              <w:rPr>
                <w:rFonts w:ascii="Arial" w:hAnsi="Arial" w:cs="Arial"/>
              </w:rPr>
            </w:pPr>
          </w:p>
          <w:p w:rsidR="0082159C" w:rsidRDefault="0082159C" w:rsidP="00182C2D">
            <w:pPr>
              <w:autoSpaceDE w:val="0"/>
              <w:autoSpaceDN w:val="0"/>
              <w:adjustRightInd w:val="0"/>
              <w:jc w:val="both"/>
              <w:rPr>
                <w:rFonts w:ascii="Arial" w:hAnsi="Arial" w:cs="Arial"/>
              </w:rPr>
            </w:pPr>
            <w:r>
              <w:rPr>
                <w:rFonts w:ascii="Arial" w:hAnsi="Arial" w:cs="Arial"/>
              </w:rPr>
              <w:t>En equipos nos dividió las lecturas o audios. Lamentablemente  la SEP no entrego el material correspondiente al curso (disco y cuadernillo). Al intentar bajarlo de internet  nos dimos cuenta que la red inalámbrica de “e-</w:t>
            </w:r>
            <w:r w:rsidR="00D91495">
              <w:rPr>
                <w:rFonts w:ascii="Arial" w:hAnsi="Arial" w:cs="Arial"/>
              </w:rPr>
              <w:t>México</w:t>
            </w:r>
            <w:r>
              <w:rPr>
                <w:rFonts w:ascii="Arial" w:hAnsi="Arial" w:cs="Arial"/>
              </w:rPr>
              <w:t>”</w:t>
            </w:r>
            <w:r w:rsidR="00D91495">
              <w:rPr>
                <w:rFonts w:ascii="Arial" w:hAnsi="Arial" w:cs="Arial"/>
              </w:rPr>
              <w:t xml:space="preserve"> no estaba disponible;</w:t>
            </w:r>
            <w:r>
              <w:rPr>
                <w:rFonts w:ascii="Arial" w:hAnsi="Arial" w:cs="Arial"/>
              </w:rPr>
              <w:t xml:space="preserve"> mi compañero de equipo me hizo favor de buscar una </w:t>
            </w:r>
            <w:r w:rsidR="00D91495">
              <w:rPr>
                <w:rFonts w:ascii="Arial" w:hAnsi="Arial" w:cs="Arial"/>
              </w:rPr>
              <w:t>señal y la contraseña para acceder. Al encontrar quise bajar  el video de “habitar el sonido” de Rodolfo Castro, nos tardamos una eternidad y leímos la lectura. Posteriormente, cada equipo se dispuso a comentar lo más importante de su lectura o video.</w:t>
            </w:r>
          </w:p>
          <w:p w:rsidR="00D91495" w:rsidRDefault="00D91495" w:rsidP="00182C2D">
            <w:pPr>
              <w:autoSpaceDE w:val="0"/>
              <w:autoSpaceDN w:val="0"/>
              <w:adjustRightInd w:val="0"/>
              <w:jc w:val="both"/>
              <w:rPr>
                <w:rFonts w:ascii="Arial" w:hAnsi="Arial" w:cs="Arial"/>
              </w:rPr>
            </w:pPr>
          </w:p>
          <w:tbl>
            <w:tblPr>
              <w:tblStyle w:val="Tablaconcuadrcula"/>
              <w:tblW w:w="0" w:type="auto"/>
              <w:tblInd w:w="421" w:type="dxa"/>
              <w:tblLook w:val="04A0"/>
            </w:tblPr>
            <w:tblGrid>
              <w:gridCol w:w="1134"/>
              <w:gridCol w:w="2693"/>
              <w:gridCol w:w="4394"/>
            </w:tblGrid>
            <w:tr w:rsidR="00D91495" w:rsidTr="0038001C">
              <w:tc>
                <w:tcPr>
                  <w:tcW w:w="1134" w:type="dxa"/>
                </w:tcPr>
                <w:p w:rsidR="00D91495" w:rsidRPr="00D91495" w:rsidRDefault="00D91495" w:rsidP="00D91495">
                  <w:pPr>
                    <w:autoSpaceDE w:val="0"/>
                    <w:autoSpaceDN w:val="0"/>
                    <w:adjustRightInd w:val="0"/>
                    <w:jc w:val="center"/>
                    <w:rPr>
                      <w:rFonts w:ascii="Arial" w:hAnsi="Arial" w:cs="Arial"/>
                      <w:b/>
                    </w:rPr>
                  </w:pPr>
                  <w:r w:rsidRPr="00D91495">
                    <w:rPr>
                      <w:rFonts w:ascii="Arial" w:hAnsi="Arial" w:cs="Arial"/>
                      <w:b/>
                    </w:rPr>
                    <w:t>Equipo</w:t>
                  </w:r>
                  <w:r>
                    <w:rPr>
                      <w:rFonts w:ascii="Arial" w:hAnsi="Arial" w:cs="Arial"/>
                      <w:b/>
                    </w:rPr>
                    <w:t xml:space="preserve"> </w:t>
                  </w:r>
                </w:p>
              </w:tc>
              <w:tc>
                <w:tcPr>
                  <w:tcW w:w="2693" w:type="dxa"/>
                </w:tcPr>
                <w:p w:rsidR="00D91495" w:rsidRPr="00D91495" w:rsidRDefault="00D91495" w:rsidP="00D91495">
                  <w:pPr>
                    <w:autoSpaceDE w:val="0"/>
                    <w:autoSpaceDN w:val="0"/>
                    <w:adjustRightInd w:val="0"/>
                    <w:jc w:val="center"/>
                    <w:rPr>
                      <w:rFonts w:ascii="Arial" w:hAnsi="Arial" w:cs="Arial"/>
                      <w:b/>
                    </w:rPr>
                  </w:pPr>
                  <w:r w:rsidRPr="00D91495">
                    <w:rPr>
                      <w:rFonts w:ascii="Arial" w:hAnsi="Arial" w:cs="Arial"/>
                      <w:b/>
                    </w:rPr>
                    <w:t>Lectura o grabación</w:t>
                  </w:r>
                </w:p>
              </w:tc>
              <w:tc>
                <w:tcPr>
                  <w:tcW w:w="4394" w:type="dxa"/>
                </w:tcPr>
                <w:p w:rsidR="00D91495" w:rsidRPr="00D91495" w:rsidRDefault="00D91495" w:rsidP="00D91495">
                  <w:pPr>
                    <w:autoSpaceDE w:val="0"/>
                    <w:autoSpaceDN w:val="0"/>
                    <w:adjustRightInd w:val="0"/>
                    <w:jc w:val="center"/>
                    <w:rPr>
                      <w:rFonts w:ascii="Arial" w:hAnsi="Arial" w:cs="Arial"/>
                      <w:b/>
                    </w:rPr>
                  </w:pPr>
                  <w:r w:rsidRPr="00D91495">
                    <w:rPr>
                      <w:rFonts w:ascii="Arial" w:hAnsi="Arial" w:cs="Arial"/>
                      <w:b/>
                    </w:rPr>
                    <w:t>comentarios</w:t>
                  </w:r>
                </w:p>
              </w:tc>
            </w:tr>
            <w:tr w:rsidR="00D91495" w:rsidTr="0038001C">
              <w:tc>
                <w:tcPr>
                  <w:tcW w:w="1134" w:type="dxa"/>
                </w:tcPr>
                <w:p w:rsidR="00D91495" w:rsidRDefault="00D91495" w:rsidP="00182C2D">
                  <w:pPr>
                    <w:autoSpaceDE w:val="0"/>
                    <w:autoSpaceDN w:val="0"/>
                    <w:adjustRightInd w:val="0"/>
                    <w:jc w:val="both"/>
                    <w:rPr>
                      <w:rFonts w:ascii="Arial" w:hAnsi="Arial" w:cs="Arial"/>
                    </w:rPr>
                  </w:pPr>
                  <w:r>
                    <w:rPr>
                      <w:rFonts w:ascii="Arial" w:hAnsi="Arial" w:cs="Arial"/>
                    </w:rPr>
                    <w:t>1</w:t>
                  </w:r>
                </w:p>
              </w:tc>
              <w:tc>
                <w:tcPr>
                  <w:tcW w:w="2693" w:type="dxa"/>
                </w:tcPr>
                <w:p w:rsidR="00D91495" w:rsidRDefault="00D91495" w:rsidP="00182C2D">
                  <w:pPr>
                    <w:autoSpaceDE w:val="0"/>
                    <w:autoSpaceDN w:val="0"/>
                    <w:adjustRightInd w:val="0"/>
                    <w:jc w:val="both"/>
                    <w:rPr>
                      <w:rFonts w:ascii="Arial" w:hAnsi="Arial" w:cs="Arial"/>
                    </w:rPr>
                  </w:pPr>
                  <w:r>
                    <w:rPr>
                      <w:rFonts w:ascii="Arial" w:hAnsi="Arial" w:cs="Arial"/>
                    </w:rPr>
                    <w:t>Habitar el sonido</w:t>
                  </w:r>
                </w:p>
              </w:tc>
              <w:tc>
                <w:tcPr>
                  <w:tcW w:w="4394" w:type="dxa"/>
                </w:tcPr>
                <w:p w:rsidR="00D91495" w:rsidRDefault="004423C0" w:rsidP="00182C2D">
                  <w:pPr>
                    <w:autoSpaceDE w:val="0"/>
                    <w:autoSpaceDN w:val="0"/>
                    <w:adjustRightInd w:val="0"/>
                    <w:jc w:val="both"/>
                    <w:rPr>
                      <w:rFonts w:ascii="Arial" w:hAnsi="Arial" w:cs="Arial"/>
                    </w:rPr>
                  </w:pPr>
                  <w:r>
                    <w:rPr>
                      <w:rFonts w:ascii="Arial" w:hAnsi="Arial" w:cs="Arial"/>
                    </w:rPr>
                    <w:t>Para tener una mejor lectura en voz alta debemos practicarla anticipadamente para conocer el contexto de la lectura. Además,  es importante que en la lectura emitamos correctamente el sonido para aquellas personas que escuchan.</w:t>
                  </w:r>
                </w:p>
              </w:tc>
            </w:tr>
            <w:tr w:rsidR="00D91495" w:rsidTr="0038001C">
              <w:tc>
                <w:tcPr>
                  <w:tcW w:w="1134" w:type="dxa"/>
                </w:tcPr>
                <w:p w:rsidR="00D91495" w:rsidRDefault="00D91495" w:rsidP="00182C2D">
                  <w:pPr>
                    <w:autoSpaceDE w:val="0"/>
                    <w:autoSpaceDN w:val="0"/>
                    <w:adjustRightInd w:val="0"/>
                    <w:jc w:val="both"/>
                    <w:rPr>
                      <w:rFonts w:ascii="Arial" w:hAnsi="Arial" w:cs="Arial"/>
                    </w:rPr>
                  </w:pPr>
                  <w:r>
                    <w:rPr>
                      <w:rFonts w:ascii="Arial" w:hAnsi="Arial" w:cs="Arial"/>
                    </w:rPr>
                    <w:t>2</w:t>
                  </w:r>
                </w:p>
              </w:tc>
              <w:tc>
                <w:tcPr>
                  <w:tcW w:w="2693" w:type="dxa"/>
                </w:tcPr>
                <w:p w:rsidR="00D91495" w:rsidRDefault="00297229" w:rsidP="00182C2D">
                  <w:pPr>
                    <w:autoSpaceDE w:val="0"/>
                    <w:autoSpaceDN w:val="0"/>
                    <w:adjustRightInd w:val="0"/>
                    <w:jc w:val="both"/>
                    <w:rPr>
                      <w:rFonts w:ascii="Arial" w:hAnsi="Arial" w:cs="Arial"/>
                    </w:rPr>
                  </w:pPr>
                  <w:r>
                    <w:rPr>
                      <w:rFonts w:ascii="Arial" w:hAnsi="Arial" w:cs="Arial"/>
                    </w:rPr>
                    <w:t xml:space="preserve">La hora exacta </w:t>
                  </w:r>
                </w:p>
              </w:tc>
              <w:tc>
                <w:tcPr>
                  <w:tcW w:w="4394" w:type="dxa"/>
                </w:tcPr>
                <w:p w:rsidR="00D91495" w:rsidRDefault="004423C0" w:rsidP="00182C2D">
                  <w:pPr>
                    <w:autoSpaceDE w:val="0"/>
                    <w:autoSpaceDN w:val="0"/>
                    <w:adjustRightInd w:val="0"/>
                    <w:jc w:val="both"/>
                    <w:rPr>
                      <w:rFonts w:ascii="Arial" w:hAnsi="Arial" w:cs="Arial"/>
                    </w:rPr>
                  </w:pPr>
                  <w:r>
                    <w:rPr>
                      <w:rFonts w:ascii="Arial" w:hAnsi="Arial" w:cs="Arial"/>
                    </w:rPr>
                    <w:t xml:space="preserve">La estación de radio es un medio de información y comunicación. La importancia de esta es que el público identifica la información, llama la atención la vocalización  y claridad del locutor, esto hace que la gente escuche con atención. </w:t>
                  </w:r>
                </w:p>
              </w:tc>
            </w:tr>
            <w:tr w:rsidR="00297229" w:rsidTr="0038001C">
              <w:tc>
                <w:tcPr>
                  <w:tcW w:w="1134" w:type="dxa"/>
                </w:tcPr>
                <w:p w:rsidR="00297229" w:rsidRDefault="00297229" w:rsidP="00182C2D">
                  <w:pPr>
                    <w:autoSpaceDE w:val="0"/>
                    <w:autoSpaceDN w:val="0"/>
                    <w:adjustRightInd w:val="0"/>
                    <w:jc w:val="both"/>
                    <w:rPr>
                      <w:rFonts w:ascii="Arial" w:hAnsi="Arial" w:cs="Arial"/>
                    </w:rPr>
                  </w:pPr>
                  <w:r>
                    <w:rPr>
                      <w:rFonts w:ascii="Arial" w:hAnsi="Arial" w:cs="Arial"/>
                    </w:rPr>
                    <w:t>3</w:t>
                  </w:r>
                </w:p>
              </w:tc>
              <w:tc>
                <w:tcPr>
                  <w:tcW w:w="2693" w:type="dxa"/>
                </w:tcPr>
                <w:p w:rsidR="00297229" w:rsidRDefault="00297229" w:rsidP="000911A8">
                  <w:pPr>
                    <w:autoSpaceDE w:val="0"/>
                    <w:autoSpaceDN w:val="0"/>
                    <w:adjustRightInd w:val="0"/>
                    <w:jc w:val="both"/>
                    <w:rPr>
                      <w:rFonts w:ascii="Arial" w:hAnsi="Arial" w:cs="Arial"/>
                    </w:rPr>
                  </w:pPr>
                  <w:r>
                    <w:rPr>
                      <w:rFonts w:ascii="Arial" w:hAnsi="Arial" w:cs="Arial"/>
                    </w:rPr>
                    <w:t>Batalla en el desierto</w:t>
                  </w:r>
                </w:p>
              </w:tc>
              <w:tc>
                <w:tcPr>
                  <w:tcW w:w="4394" w:type="dxa"/>
                </w:tcPr>
                <w:p w:rsidR="00297229" w:rsidRDefault="004423C0" w:rsidP="00182C2D">
                  <w:pPr>
                    <w:autoSpaceDE w:val="0"/>
                    <w:autoSpaceDN w:val="0"/>
                    <w:adjustRightInd w:val="0"/>
                    <w:jc w:val="both"/>
                    <w:rPr>
                      <w:rFonts w:ascii="Arial" w:hAnsi="Arial" w:cs="Arial"/>
                    </w:rPr>
                  </w:pPr>
                  <w:r>
                    <w:rPr>
                      <w:rFonts w:ascii="Arial" w:hAnsi="Arial" w:cs="Arial"/>
                    </w:rPr>
                    <w:t>Es una narración de una persona que</w:t>
                  </w:r>
                  <w:r w:rsidR="00A60F7C">
                    <w:rPr>
                      <w:rFonts w:ascii="Arial" w:hAnsi="Arial" w:cs="Arial"/>
                    </w:rPr>
                    <w:t xml:space="preserve"> cuenta </w:t>
                  </w:r>
                  <w:r>
                    <w:rPr>
                      <w:rFonts w:ascii="Arial" w:hAnsi="Arial" w:cs="Arial"/>
                    </w:rPr>
                    <w:t xml:space="preserve">los </w:t>
                  </w:r>
                  <w:r w:rsidR="00A60F7C">
                    <w:rPr>
                      <w:rFonts w:ascii="Arial" w:hAnsi="Arial" w:cs="Arial"/>
                    </w:rPr>
                    <w:t xml:space="preserve">acontecimientos que </w:t>
                  </w:r>
                  <w:r w:rsidR="00A60F7C">
                    <w:rPr>
                      <w:rFonts w:ascii="Arial" w:hAnsi="Arial" w:cs="Arial"/>
                    </w:rPr>
                    <w:lastRenderedPageBreak/>
                    <w:t>sucedieron pero vistas desde la perspectiva  de esa persona que la cuenta.</w:t>
                  </w:r>
                  <w:r>
                    <w:rPr>
                      <w:rFonts w:ascii="Arial" w:hAnsi="Arial" w:cs="Arial"/>
                    </w:rPr>
                    <w:t xml:space="preserve">  </w:t>
                  </w:r>
                </w:p>
              </w:tc>
            </w:tr>
            <w:tr w:rsidR="00297229" w:rsidTr="0038001C">
              <w:tc>
                <w:tcPr>
                  <w:tcW w:w="1134" w:type="dxa"/>
                </w:tcPr>
                <w:p w:rsidR="00297229" w:rsidRDefault="00297229" w:rsidP="00182C2D">
                  <w:pPr>
                    <w:autoSpaceDE w:val="0"/>
                    <w:autoSpaceDN w:val="0"/>
                    <w:adjustRightInd w:val="0"/>
                    <w:jc w:val="both"/>
                    <w:rPr>
                      <w:rFonts w:ascii="Arial" w:hAnsi="Arial" w:cs="Arial"/>
                    </w:rPr>
                  </w:pPr>
                  <w:r>
                    <w:rPr>
                      <w:rFonts w:ascii="Arial" w:hAnsi="Arial" w:cs="Arial"/>
                    </w:rPr>
                    <w:lastRenderedPageBreak/>
                    <w:t>4</w:t>
                  </w:r>
                </w:p>
              </w:tc>
              <w:tc>
                <w:tcPr>
                  <w:tcW w:w="2693" w:type="dxa"/>
                </w:tcPr>
                <w:p w:rsidR="00297229" w:rsidRDefault="00297229" w:rsidP="000911A8">
                  <w:pPr>
                    <w:autoSpaceDE w:val="0"/>
                    <w:autoSpaceDN w:val="0"/>
                    <w:adjustRightInd w:val="0"/>
                    <w:jc w:val="both"/>
                    <w:rPr>
                      <w:rFonts w:ascii="Arial" w:hAnsi="Arial" w:cs="Arial"/>
                    </w:rPr>
                  </w:pPr>
                  <w:r>
                    <w:rPr>
                      <w:rFonts w:ascii="Arial" w:hAnsi="Arial" w:cs="Arial"/>
                    </w:rPr>
                    <w:t>Táctica y estrategia</w:t>
                  </w:r>
                </w:p>
              </w:tc>
              <w:tc>
                <w:tcPr>
                  <w:tcW w:w="4394" w:type="dxa"/>
                </w:tcPr>
                <w:p w:rsidR="00297229" w:rsidRDefault="00A60F7C" w:rsidP="00182C2D">
                  <w:pPr>
                    <w:autoSpaceDE w:val="0"/>
                    <w:autoSpaceDN w:val="0"/>
                    <w:adjustRightInd w:val="0"/>
                    <w:jc w:val="both"/>
                    <w:rPr>
                      <w:rFonts w:ascii="Arial" w:hAnsi="Arial" w:cs="Arial"/>
                    </w:rPr>
                  </w:pPr>
                  <w:r>
                    <w:rPr>
                      <w:rFonts w:ascii="Arial" w:hAnsi="Arial" w:cs="Arial"/>
                    </w:rPr>
                    <w:t xml:space="preserve">Nos muestra que la táctica </w:t>
                  </w:r>
                  <w:r w:rsidR="00044C85">
                    <w:rPr>
                      <w:rFonts w:ascii="Arial" w:hAnsi="Arial" w:cs="Arial"/>
                    </w:rPr>
                    <w:t>son acciones a las que las personas reaccionan y la estrategia es cuando o donde nos pueden sorprender.</w:t>
                  </w:r>
                </w:p>
              </w:tc>
            </w:tr>
            <w:tr w:rsidR="00297229" w:rsidTr="0038001C">
              <w:tc>
                <w:tcPr>
                  <w:tcW w:w="1134" w:type="dxa"/>
                </w:tcPr>
                <w:p w:rsidR="00297229" w:rsidRDefault="00297229" w:rsidP="00182C2D">
                  <w:pPr>
                    <w:autoSpaceDE w:val="0"/>
                    <w:autoSpaceDN w:val="0"/>
                    <w:adjustRightInd w:val="0"/>
                    <w:jc w:val="both"/>
                    <w:rPr>
                      <w:rFonts w:ascii="Arial" w:hAnsi="Arial" w:cs="Arial"/>
                    </w:rPr>
                  </w:pPr>
                  <w:r>
                    <w:rPr>
                      <w:rFonts w:ascii="Arial" w:hAnsi="Arial" w:cs="Arial"/>
                    </w:rPr>
                    <w:t>5</w:t>
                  </w:r>
                </w:p>
              </w:tc>
              <w:tc>
                <w:tcPr>
                  <w:tcW w:w="2693" w:type="dxa"/>
                </w:tcPr>
                <w:p w:rsidR="00297229" w:rsidRDefault="00297229" w:rsidP="000911A8">
                  <w:pPr>
                    <w:autoSpaceDE w:val="0"/>
                    <w:autoSpaceDN w:val="0"/>
                    <w:adjustRightInd w:val="0"/>
                    <w:jc w:val="both"/>
                    <w:rPr>
                      <w:rFonts w:ascii="Arial" w:hAnsi="Arial" w:cs="Arial"/>
                    </w:rPr>
                  </w:pPr>
                  <w:r>
                    <w:rPr>
                      <w:rFonts w:ascii="Arial" w:hAnsi="Arial" w:cs="Arial"/>
                    </w:rPr>
                    <w:t>La luna</w:t>
                  </w:r>
                </w:p>
              </w:tc>
              <w:tc>
                <w:tcPr>
                  <w:tcW w:w="4394" w:type="dxa"/>
                </w:tcPr>
                <w:p w:rsidR="00297229" w:rsidRDefault="00044C85" w:rsidP="00182C2D">
                  <w:pPr>
                    <w:autoSpaceDE w:val="0"/>
                    <w:autoSpaceDN w:val="0"/>
                    <w:adjustRightInd w:val="0"/>
                    <w:jc w:val="both"/>
                    <w:rPr>
                      <w:rFonts w:ascii="Arial" w:hAnsi="Arial" w:cs="Arial"/>
                    </w:rPr>
                  </w:pPr>
                  <w:r>
                    <w:rPr>
                      <w:rFonts w:ascii="Arial" w:hAnsi="Arial" w:cs="Arial"/>
                    </w:rPr>
                    <w:t xml:space="preserve">Usan la metáfora para representar la emoción y el sentido real </w:t>
                  </w:r>
                </w:p>
              </w:tc>
            </w:tr>
            <w:tr w:rsidR="00297229" w:rsidTr="0038001C">
              <w:tc>
                <w:tcPr>
                  <w:tcW w:w="1134" w:type="dxa"/>
                </w:tcPr>
                <w:p w:rsidR="00297229" w:rsidRDefault="00297229" w:rsidP="00182C2D">
                  <w:pPr>
                    <w:autoSpaceDE w:val="0"/>
                    <w:autoSpaceDN w:val="0"/>
                    <w:adjustRightInd w:val="0"/>
                    <w:jc w:val="both"/>
                    <w:rPr>
                      <w:rFonts w:ascii="Arial" w:hAnsi="Arial" w:cs="Arial"/>
                    </w:rPr>
                  </w:pPr>
                  <w:r>
                    <w:rPr>
                      <w:rFonts w:ascii="Arial" w:hAnsi="Arial" w:cs="Arial"/>
                    </w:rPr>
                    <w:t>6</w:t>
                  </w:r>
                </w:p>
              </w:tc>
              <w:tc>
                <w:tcPr>
                  <w:tcW w:w="2693" w:type="dxa"/>
                </w:tcPr>
                <w:p w:rsidR="00297229" w:rsidRDefault="00297229" w:rsidP="000911A8">
                  <w:pPr>
                    <w:autoSpaceDE w:val="0"/>
                    <w:autoSpaceDN w:val="0"/>
                    <w:adjustRightInd w:val="0"/>
                    <w:jc w:val="both"/>
                    <w:rPr>
                      <w:rFonts w:ascii="Arial" w:hAnsi="Arial" w:cs="Arial"/>
                    </w:rPr>
                  </w:pPr>
                  <w:r>
                    <w:rPr>
                      <w:rFonts w:ascii="Arial" w:hAnsi="Arial" w:cs="Arial"/>
                    </w:rPr>
                    <w:t>Algunos aportes sobre la oralidad y su didáctica</w:t>
                  </w:r>
                </w:p>
              </w:tc>
              <w:tc>
                <w:tcPr>
                  <w:tcW w:w="4394" w:type="dxa"/>
                </w:tcPr>
                <w:p w:rsidR="00297229" w:rsidRDefault="00297229" w:rsidP="00182C2D">
                  <w:pPr>
                    <w:autoSpaceDE w:val="0"/>
                    <w:autoSpaceDN w:val="0"/>
                    <w:adjustRightInd w:val="0"/>
                    <w:jc w:val="both"/>
                    <w:rPr>
                      <w:rFonts w:ascii="Arial" w:hAnsi="Arial" w:cs="Arial"/>
                    </w:rPr>
                  </w:pPr>
                </w:p>
              </w:tc>
            </w:tr>
            <w:tr w:rsidR="00297229" w:rsidTr="0038001C">
              <w:tc>
                <w:tcPr>
                  <w:tcW w:w="1134" w:type="dxa"/>
                </w:tcPr>
                <w:p w:rsidR="00297229" w:rsidRDefault="00297229" w:rsidP="00182C2D">
                  <w:pPr>
                    <w:autoSpaceDE w:val="0"/>
                    <w:autoSpaceDN w:val="0"/>
                    <w:adjustRightInd w:val="0"/>
                    <w:jc w:val="both"/>
                    <w:rPr>
                      <w:rFonts w:ascii="Arial" w:hAnsi="Arial" w:cs="Arial"/>
                    </w:rPr>
                  </w:pPr>
                  <w:r>
                    <w:rPr>
                      <w:rFonts w:ascii="Arial" w:hAnsi="Arial" w:cs="Arial"/>
                    </w:rPr>
                    <w:t>7</w:t>
                  </w:r>
                </w:p>
              </w:tc>
              <w:tc>
                <w:tcPr>
                  <w:tcW w:w="2693" w:type="dxa"/>
                </w:tcPr>
                <w:p w:rsidR="00297229" w:rsidRDefault="00297229" w:rsidP="00182C2D">
                  <w:pPr>
                    <w:autoSpaceDE w:val="0"/>
                    <w:autoSpaceDN w:val="0"/>
                    <w:adjustRightInd w:val="0"/>
                    <w:jc w:val="both"/>
                    <w:rPr>
                      <w:rFonts w:ascii="Arial" w:hAnsi="Arial" w:cs="Arial"/>
                    </w:rPr>
                  </w:pPr>
                  <w:r>
                    <w:rPr>
                      <w:rFonts w:ascii="Arial" w:hAnsi="Arial" w:cs="Arial"/>
                    </w:rPr>
                    <w:t>Por hondo que sea el mar profundo</w:t>
                  </w:r>
                </w:p>
              </w:tc>
              <w:tc>
                <w:tcPr>
                  <w:tcW w:w="4394" w:type="dxa"/>
                </w:tcPr>
                <w:p w:rsidR="00297229" w:rsidRDefault="0038001C" w:rsidP="00182C2D">
                  <w:pPr>
                    <w:autoSpaceDE w:val="0"/>
                    <w:autoSpaceDN w:val="0"/>
                    <w:adjustRightInd w:val="0"/>
                    <w:jc w:val="both"/>
                    <w:rPr>
                      <w:rFonts w:ascii="Arial" w:hAnsi="Arial" w:cs="Arial"/>
                    </w:rPr>
                  </w:pPr>
                  <w:r>
                    <w:rPr>
                      <w:rFonts w:ascii="Arial" w:hAnsi="Arial" w:cs="Arial"/>
                    </w:rPr>
                    <w:t>Es importante conocer el contexto para dar entonación (sonido)  a las expresiones del  personaje que narra el hecho de su vida. Pero al igual, es fácil imaginarse los acontecimientos que van ocurriendo, porque la descripción es muy simple y clara.</w:t>
                  </w:r>
                </w:p>
              </w:tc>
            </w:tr>
            <w:tr w:rsidR="00297229" w:rsidTr="0038001C">
              <w:tc>
                <w:tcPr>
                  <w:tcW w:w="1134" w:type="dxa"/>
                </w:tcPr>
                <w:p w:rsidR="00297229" w:rsidRDefault="00297229" w:rsidP="00182C2D">
                  <w:pPr>
                    <w:autoSpaceDE w:val="0"/>
                    <w:autoSpaceDN w:val="0"/>
                    <w:adjustRightInd w:val="0"/>
                    <w:jc w:val="both"/>
                    <w:rPr>
                      <w:rFonts w:ascii="Arial" w:hAnsi="Arial" w:cs="Arial"/>
                    </w:rPr>
                  </w:pPr>
                  <w:r>
                    <w:rPr>
                      <w:rFonts w:ascii="Arial" w:hAnsi="Arial" w:cs="Arial"/>
                    </w:rPr>
                    <w:t>8</w:t>
                  </w:r>
                </w:p>
              </w:tc>
              <w:tc>
                <w:tcPr>
                  <w:tcW w:w="2693" w:type="dxa"/>
                </w:tcPr>
                <w:p w:rsidR="00297229" w:rsidRDefault="00297229" w:rsidP="00182C2D">
                  <w:pPr>
                    <w:autoSpaceDE w:val="0"/>
                    <w:autoSpaceDN w:val="0"/>
                    <w:adjustRightInd w:val="0"/>
                    <w:jc w:val="both"/>
                    <w:rPr>
                      <w:rFonts w:ascii="Arial" w:hAnsi="Arial" w:cs="Arial"/>
                    </w:rPr>
                  </w:pPr>
                  <w:r>
                    <w:rPr>
                      <w:rFonts w:ascii="Arial" w:hAnsi="Arial" w:cs="Arial"/>
                    </w:rPr>
                    <w:t>La importancia del contexto en la alfabetización</w:t>
                  </w:r>
                </w:p>
              </w:tc>
              <w:tc>
                <w:tcPr>
                  <w:tcW w:w="4394" w:type="dxa"/>
                </w:tcPr>
                <w:p w:rsidR="00297229" w:rsidRDefault="00044C85" w:rsidP="00182C2D">
                  <w:pPr>
                    <w:autoSpaceDE w:val="0"/>
                    <w:autoSpaceDN w:val="0"/>
                    <w:adjustRightInd w:val="0"/>
                    <w:jc w:val="both"/>
                    <w:rPr>
                      <w:rFonts w:ascii="Arial" w:hAnsi="Arial" w:cs="Arial"/>
                    </w:rPr>
                  </w:pPr>
                  <w:r>
                    <w:rPr>
                      <w:rFonts w:ascii="Arial" w:hAnsi="Arial" w:cs="Arial"/>
                    </w:rPr>
                    <w:t xml:space="preserve">Un libro o texto nos ayuda a imaginar, reflexionar y tener una experiencia única de conocimientos, emociones  pero sobre todo nos traslada a lugares, olvidando </w:t>
                  </w:r>
                  <w:proofErr w:type="spellStart"/>
                  <w:r>
                    <w:rPr>
                      <w:rFonts w:ascii="Arial" w:hAnsi="Arial" w:cs="Arial"/>
                    </w:rPr>
                    <w:t>asi</w:t>
                  </w:r>
                  <w:proofErr w:type="spellEnd"/>
                  <w:r>
                    <w:rPr>
                      <w:rFonts w:ascii="Arial" w:hAnsi="Arial" w:cs="Arial"/>
                    </w:rPr>
                    <w:t xml:space="preserve"> los acontecimientos que posiblemente nos abruman en el momento. La lectura y la escritura van de la mano, porque también nosotros podemos ser actores y participes de nuestras propias historias. </w:t>
                  </w:r>
                </w:p>
              </w:tc>
            </w:tr>
            <w:tr w:rsidR="00297229" w:rsidTr="0038001C">
              <w:tc>
                <w:tcPr>
                  <w:tcW w:w="1134" w:type="dxa"/>
                </w:tcPr>
                <w:p w:rsidR="00297229" w:rsidRDefault="00297229" w:rsidP="00182C2D">
                  <w:pPr>
                    <w:autoSpaceDE w:val="0"/>
                    <w:autoSpaceDN w:val="0"/>
                    <w:adjustRightInd w:val="0"/>
                    <w:jc w:val="both"/>
                    <w:rPr>
                      <w:rFonts w:ascii="Arial" w:hAnsi="Arial" w:cs="Arial"/>
                    </w:rPr>
                  </w:pPr>
                  <w:r>
                    <w:rPr>
                      <w:rFonts w:ascii="Arial" w:hAnsi="Arial" w:cs="Arial"/>
                    </w:rPr>
                    <w:t>9</w:t>
                  </w:r>
                </w:p>
              </w:tc>
              <w:tc>
                <w:tcPr>
                  <w:tcW w:w="2693" w:type="dxa"/>
                </w:tcPr>
                <w:p w:rsidR="00297229" w:rsidRDefault="00297229" w:rsidP="00182C2D">
                  <w:pPr>
                    <w:autoSpaceDE w:val="0"/>
                    <w:autoSpaceDN w:val="0"/>
                    <w:adjustRightInd w:val="0"/>
                    <w:jc w:val="both"/>
                    <w:rPr>
                      <w:rFonts w:ascii="Arial" w:hAnsi="Arial" w:cs="Arial"/>
                    </w:rPr>
                  </w:pPr>
                  <w:r>
                    <w:rPr>
                      <w:rFonts w:ascii="Arial" w:hAnsi="Arial" w:cs="Arial"/>
                    </w:rPr>
                    <w:t>Registro de la clase.</w:t>
                  </w:r>
                </w:p>
              </w:tc>
              <w:tc>
                <w:tcPr>
                  <w:tcW w:w="4394" w:type="dxa"/>
                </w:tcPr>
                <w:p w:rsidR="00297229" w:rsidRDefault="00297229" w:rsidP="00182C2D">
                  <w:pPr>
                    <w:autoSpaceDE w:val="0"/>
                    <w:autoSpaceDN w:val="0"/>
                    <w:adjustRightInd w:val="0"/>
                    <w:jc w:val="both"/>
                    <w:rPr>
                      <w:rFonts w:ascii="Arial" w:hAnsi="Arial" w:cs="Arial"/>
                    </w:rPr>
                  </w:pPr>
                </w:p>
              </w:tc>
            </w:tr>
          </w:tbl>
          <w:p w:rsidR="00D91495" w:rsidRDefault="00D91495" w:rsidP="00182C2D">
            <w:pPr>
              <w:autoSpaceDE w:val="0"/>
              <w:autoSpaceDN w:val="0"/>
              <w:adjustRightInd w:val="0"/>
              <w:jc w:val="both"/>
              <w:rPr>
                <w:rFonts w:ascii="Arial" w:hAnsi="Arial" w:cs="Arial"/>
              </w:rPr>
            </w:pPr>
          </w:p>
          <w:p w:rsidR="00297229" w:rsidRDefault="00297229" w:rsidP="00297229">
            <w:pPr>
              <w:autoSpaceDE w:val="0"/>
              <w:autoSpaceDN w:val="0"/>
              <w:adjustRightInd w:val="0"/>
              <w:jc w:val="both"/>
              <w:rPr>
                <w:rFonts w:ascii="Arial" w:hAnsi="Arial" w:cs="Arial"/>
              </w:rPr>
            </w:pPr>
            <w:r>
              <w:rPr>
                <w:rFonts w:ascii="Arial" w:hAnsi="Arial" w:cs="Arial"/>
              </w:rPr>
              <w:t xml:space="preserve">Al termino de las exposiciones el asesor nos mostro algunas diapositivas en power </w:t>
            </w:r>
            <w:proofErr w:type="spellStart"/>
            <w:r>
              <w:rPr>
                <w:rFonts w:ascii="Arial" w:hAnsi="Arial" w:cs="Arial"/>
              </w:rPr>
              <w:t>poin</w:t>
            </w:r>
            <w:proofErr w:type="spellEnd"/>
            <w:r>
              <w:rPr>
                <w:rFonts w:ascii="Arial" w:hAnsi="Arial" w:cs="Arial"/>
              </w:rPr>
              <w:t xml:space="preserve"> sobre las características de la lectura en voz alta. Mientras existía la presentación algunos compañeros comentábamos experiencias o dudas que se presentaban. </w:t>
            </w:r>
          </w:p>
          <w:p w:rsidR="00297229" w:rsidRDefault="00297229" w:rsidP="00297229">
            <w:pPr>
              <w:autoSpaceDE w:val="0"/>
              <w:autoSpaceDN w:val="0"/>
              <w:adjustRightInd w:val="0"/>
              <w:jc w:val="both"/>
              <w:rPr>
                <w:rFonts w:ascii="Arial" w:hAnsi="Arial" w:cs="Arial"/>
              </w:rPr>
            </w:pPr>
          </w:p>
          <w:p w:rsidR="00297229" w:rsidRDefault="00297229" w:rsidP="00297229">
            <w:pPr>
              <w:autoSpaceDE w:val="0"/>
              <w:autoSpaceDN w:val="0"/>
              <w:adjustRightInd w:val="0"/>
              <w:jc w:val="both"/>
              <w:rPr>
                <w:rFonts w:ascii="Arial" w:hAnsi="Arial" w:cs="Arial"/>
              </w:rPr>
            </w:pPr>
            <w:r>
              <w:rPr>
                <w:rFonts w:ascii="Arial" w:hAnsi="Arial" w:cs="Arial"/>
              </w:rPr>
              <w:t>En equipo estuvimos  realizando el diario de campo de la sesión “Lectura en voz alta”.  Minutos antes de salir  el asesor nos pidió que llenáramos la información de registro y que le diéramos el talón de cheque. Este último no lo traía conmigo, al igual que otros compañeros y se lo tenemos que entregar en la sesión 3.</w:t>
            </w:r>
          </w:p>
          <w:p w:rsidR="0038001C" w:rsidRPr="008D26EB" w:rsidRDefault="0038001C" w:rsidP="00297229">
            <w:pPr>
              <w:autoSpaceDE w:val="0"/>
              <w:autoSpaceDN w:val="0"/>
              <w:adjustRightInd w:val="0"/>
              <w:jc w:val="both"/>
              <w:rPr>
                <w:rFonts w:ascii="Arial" w:hAnsi="Arial" w:cs="Arial"/>
              </w:rPr>
            </w:pPr>
          </w:p>
        </w:tc>
      </w:tr>
    </w:tbl>
    <w:p w:rsidR="00182C2D" w:rsidRPr="002525A0" w:rsidRDefault="00182C2D" w:rsidP="00182C2D">
      <w:pPr>
        <w:jc w:val="both"/>
        <w:rPr>
          <w:color w:val="FF0000"/>
          <w:sz w:val="20"/>
        </w:rPr>
      </w:pPr>
    </w:p>
    <w:p w:rsidR="00B420E2" w:rsidRDefault="0038001C">
      <w:r>
        <w:t xml:space="preserve">Equipo 1 </w:t>
      </w:r>
    </w:p>
    <w:p w:rsidR="0038001C" w:rsidRDefault="0038001C">
      <w:r>
        <w:t xml:space="preserve">Yenitza del Rosario García Maciel </w:t>
      </w:r>
    </w:p>
    <w:p w:rsidR="0038001C" w:rsidRDefault="0038001C">
      <w:r>
        <w:t xml:space="preserve">Daniel Díaz de Sandi Solórzano </w:t>
      </w:r>
    </w:p>
    <w:sectPr w:rsidR="0038001C" w:rsidSect="00704D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F5940"/>
    <w:multiLevelType w:val="hybridMultilevel"/>
    <w:tmpl w:val="624A1C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182C2D"/>
    <w:rsid w:val="00044C85"/>
    <w:rsid w:val="00182C2D"/>
    <w:rsid w:val="00297229"/>
    <w:rsid w:val="0038001C"/>
    <w:rsid w:val="004423C0"/>
    <w:rsid w:val="0082159C"/>
    <w:rsid w:val="00A60F7C"/>
    <w:rsid w:val="00B420E2"/>
    <w:rsid w:val="00D91495"/>
    <w:rsid w:val="00E972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0E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2C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182C2D"/>
    <w:pPr>
      <w:ind w:left="720"/>
      <w:contextualSpacing/>
    </w:pPr>
  </w:style>
  <w:style w:type="paragraph" w:styleId="Textodeglobo">
    <w:name w:val="Balloon Text"/>
    <w:basedOn w:val="Normal"/>
    <w:link w:val="TextodegloboCar"/>
    <w:uiPriority w:val="99"/>
    <w:semiHidden/>
    <w:unhideWhenUsed/>
    <w:rsid w:val="00182C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2C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670</Words>
  <Characters>3685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dc:creator>
  <cp:keywords/>
  <dc:description/>
  <cp:lastModifiedBy>yeni</cp:lastModifiedBy>
  <cp:revision>4</cp:revision>
  <dcterms:created xsi:type="dcterms:W3CDTF">2013-10-27T02:40:00Z</dcterms:created>
  <dcterms:modified xsi:type="dcterms:W3CDTF">2013-11-02T00:47:00Z</dcterms:modified>
</cp:coreProperties>
</file>